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9DA" w:rsidRDefault="005109DA">
      <w:pPr>
        <w:pStyle w:val="ConsPlusNormal"/>
        <w:ind w:left="-426" w:firstLine="426"/>
        <w:contextualSpacing/>
        <w:jc w:val="right"/>
        <w:rPr>
          <w:rFonts w:ascii="Times New Roman" w:hAnsi="Times New Roman"/>
          <w:sz w:val="26"/>
        </w:rPr>
      </w:pPr>
    </w:p>
    <w:p w:rsidR="005109DA" w:rsidRDefault="00000000">
      <w:pPr>
        <w:pStyle w:val="ConsPlusNormal"/>
        <w:ind w:left="-426" w:firstLine="426"/>
        <w:contextualSpacing/>
        <w:jc w:val="right"/>
        <w:rPr>
          <w:rFonts w:ascii="Times New Roman" w:hAnsi="Times New Roman"/>
          <w:sz w:val="26"/>
        </w:rPr>
      </w:pPr>
      <w:r>
        <w:rPr>
          <w:rFonts w:ascii="Times New Roman" w:hAnsi="Times New Roman"/>
          <w:sz w:val="26"/>
        </w:rPr>
        <w:t xml:space="preserve">Приложение </w:t>
      </w:r>
    </w:p>
    <w:p w:rsidR="005109DA" w:rsidRDefault="00000000">
      <w:pPr>
        <w:pStyle w:val="ConsPlusNormal"/>
        <w:ind w:left="-426" w:firstLine="426"/>
        <w:contextualSpacing/>
        <w:jc w:val="center"/>
        <w:rPr>
          <w:rFonts w:ascii="Times New Roman" w:hAnsi="Times New Roman"/>
          <w:sz w:val="26"/>
        </w:rPr>
      </w:pPr>
      <w:bookmarkStart w:id="0" w:name="_Hlk118284485"/>
      <w:bookmarkEnd w:id="0"/>
      <w:r>
        <w:rPr>
          <w:rFonts w:ascii="Times New Roman" w:hAnsi="Times New Roman"/>
          <w:sz w:val="26"/>
        </w:rPr>
        <w:t xml:space="preserve">                                                                                          к Приказу от </w:t>
      </w:r>
      <w:r>
        <w:rPr>
          <w:rFonts w:ascii="Times New Roman" w:hAnsi="Times New Roman"/>
          <w:sz w:val="26"/>
          <w:u w:val="single"/>
        </w:rPr>
        <w:t>27.12.202</w:t>
      </w:r>
      <w:r w:rsidR="007859A1">
        <w:rPr>
          <w:rFonts w:ascii="Times New Roman" w:hAnsi="Times New Roman"/>
          <w:sz w:val="26"/>
          <w:u w:val="single"/>
          <w:lang w:val="en-US"/>
        </w:rPr>
        <w:t>3</w:t>
      </w:r>
      <w:r>
        <w:rPr>
          <w:rFonts w:ascii="Times New Roman" w:hAnsi="Times New Roman"/>
          <w:sz w:val="26"/>
        </w:rPr>
        <w:t xml:space="preserve"> №</w:t>
      </w:r>
      <w:bookmarkStart w:id="1" w:name="P42"/>
      <w:bookmarkEnd w:id="1"/>
      <w:r>
        <w:rPr>
          <w:rFonts w:ascii="Times New Roman" w:hAnsi="Times New Roman"/>
          <w:sz w:val="26"/>
        </w:rPr>
        <w:t xml:space="preserve"> 134</w:t>
      </w:r>
    </w:p>
    <w:p w:rsidR="005109DA" w:rsidRDefault="00000000">
      <w:pPr>
        <w:pStyle w:val="ConsPlusNormal"/>
        <w:ind w:left="-426" w:firstLine="426"/>
        <w:contextualSpacing/>
        <w:jc w:val="center"/>
        <w:rPr>
          <w:rFonts w:ascii="Times New Roman" w:hAnsi="Times New Roman"/>
          <w:sz w:val="26"/>
        </w:rPr>
      </w:pPr>
      <w:r>
        <w:rPr>
          <w:rFonts w:ascii="Times New Roman" w:hAnsi="Times New Roman"/>
          <w:b/>
          <w:sz w:val="26"/>
        </w:rPr>
        <w:t>Единая учетная политика при централизации учета</w:t>
      </w:r>
    </w:p>
    <w:p w:rsidR="005109DA" w:rsidRDefault="005109DA">
      <w:pPr>
        <w:pStyle w:val="ConsPlusNormal"/>
        <w:ind w:left="-426" w:firstLine="426"/>
        <w:contextualSpacing/>
        <w:jc w:val="center"/>
        <w:rPr>
          <w:rFonts w:ascii="Times New Roman" w:hAnsi="Times New Roman"/>
          <w:sz w:val="26"/>
        </w:rPr>
      </w:pPr>
    </w:p>
    <w:p w:rsidR="005109DA" w:rsidRDefault="00000000">
      <w:pPr>
        <w:pStyle w:val="ConsPlusNormal"/>
        <w:ind w:left="-426" w:firstLine="426"/>
        <w:contextualSpacing/>
        <w:jc w:val="center"/>
        <w:rPr>
          <w:rFonts w:ascii="Times New Roman" w:hAnsi="Times New Roman"/>
          <w:sz w:val="26"/>
        </w:rPr>
      </w:pPr>
      <w:r>
        <w:rPr>
          <w:rFonts w:ascii="Times New Roman" w:hAnsi="Times New Roman"/>
          <w:b/>
          <w:sz w:val="26"/>
        </w:rPr>
        <w:t>1. Общие положения</w:t>
      </w:r>
    </w:p>
    <w:p w:rsidR="005109DA" w:rsidRDefault="005109DA">
      <w:pPr>
        <w:pStyle w:val="ConsPlusNormal"/>
        <w:ind w:left="-426" w:firstLine="426"/>
        <w:contextualSpacing/>
        <w:jc w:val="both"/>
        <w:rPr>
          <w:rFonts w:ascii="Times New Roman" w:hAnsi="Times New Roman"/>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 xml:space="preserve">1.1. Единая учетная политика сформирована субъектом централизованного учета Санкт-Петербургским государственным казенным учреждением «Централизованная бухгалтерия администрации Кировского района Санкт-Петербурга» (далее централизованная бухгалтерия) в целях  централизации учета, формирования отчетности  бюджетных учреждений (далее субъекты централизованного учета), передавших полномочия по ведению учета и в соответствии с бюджетным законодательством Российской Федерации (далее - БК РФ), федеральным </w:t>
      </w:r>
      <w:hyperlink r:id="rId5" w:history="1">
        <w:r>
          <w:rPr>
            <w:rFonts w:ascii="Times New Roman" w:hAnsi="Times New Roman"/>
            <w:sz w:val="26"/>
          </w:rPr>
          <w:t>закон</w:t>
        </w:r>
      </w:hyperlink>
      <w:r>
        <w:rPr>
          <w:rFonts w:ascii="Times New Roman" w:hAnsi="Times New Roman"/>
          <w:sz w:val="26"/>
        </w:rPr>
        <w:t>ом                      от 06.12.2011 № 402-ФЗ  "О бухгалтерском учете" (далее - Закон № 402-ФЗ), Федеральными стандартами бухгалтерского учета для организаций государственного сектора, единой методологией бюджетного учета и бюджетной отчетности, установленной в соответствии  с законодательством Российской Федерации                              и в соответствии с требованиями следующих документов:</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 Федеральный </w:t>
      </w:r>
      <w:hyperlink r:id="rId6" w:history="1">
        <w:r>
          <w:rPr>
            <w:rFonts w:ascii="Times New Roman" w:hAnsi="Times New Roman"/>
            <w:sz w:val="26"/>
          </w:rPr>
          <w:t>закон</w:t>
        </w:r>
      </w:hyperlink>
      <w:r>
        <w:rPr>
          <w:rFonts w:ascii="Times New Roman" w:hAnsi="Times New Roman"/>
          <w:sz w:val="26"/>
        </w:rPr>
        <w:t xml:space="preserve"> от 12.01.1996 № 7-ФЗ "О некоммерческих организациях" (далее - Закон № 7-ФЗ);</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 Единый </w:t>
      </w:r>
      <w:hyperlink r:id="rId7" w:history="1">
        <w:r>
          <w:rPr>
            <w:rFonts w:ascii="Times New Roman" w:hAnsi="Times New Roman"/>
            <w:sz w:val="26"/>
          </w:rPr>
          <w:t>план</w:t>
        </w:r>
      </w:hyperlink>
      <w:r>
        <w:rPr>
          <w:rFonts w:ascii="Times New Roman" w:hAnsi="Times New Roman"/>
          <w:sz w:val="26"/>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план счетов);</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 </w:t>
      </w:r>
      <w:hyperlink r:id="rId8" w:history="1">
        <w:r>
          <w:rPr>
            <w:rFonts w:ascii="Times New Roman" w:hAnsi="Times New Roman"/>
            <w:sz w:val="26"/>
          </w:rPr>
          <w:t>Инструкция</w:t>
        </w:r>
      </w:hyperlink>
      <w:r>
        <w:rPr>
          <w:rFonts w:ascii="Times New Roman" w:hAnsi="Times New Roman"/>
          <w:sz w:val="26"/>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Инструкция           № 157н);</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 </w:t>
      </w:r>
      <w:hyperlink r:id="rId9" w:history="1">
        <w:r>
          <w:rPr>
            <w:rFonts w:ascii="Times New Roman" w:hAnsi="Times New Roman"/>
            <w:sz w:val="26"/>
          </w:rPr>
          <w:t>План</w:t>
        </w:r>
      </w:hyperlink>
      <w:r>
        <w:rPr>
          <w:rFonts w:ascii="Times New Roman" w:hAnsi="Times New Roman"/>
          <w:sz w:val="26"/>
        </w:rPr>
        <w:t xml:space="preserve"> счетов бухгалтерского учета бюджетных учреждений, утвержденный Приказом Минфина России от 16.12.2010 № 174н (далее - План счетов бюджетных учреждений);</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 </w:t>
      </w:r>
      <w:hyperlink r:id="rId10" w:history="1">
        <w:r>
          <w:rPr>
            <w:rFonts w:ascii="Times New Roman" w:hAnsi="Times New Roman"/>
            <w:sz w:val="26"/>
          </w:rPr>
          <w:t>Инструкция</w:t>
        </w:r>
      </w:hyperlink>
      <w:r>
        <w:rPr>
          <w:rFonts w:ascii="Times New Roman" w:hAnsi="Times New Roman"/>
          <w:sz w:val="26"/>
        </w:rPr>
        <w:t xml:space="preserve"> по применению Плана счетов бухгалтерского учета бюджетных учреждений, утвержденная Приказом Минфина России от 16.12.2010 № 174н (далее - Инструкция  № 174н);</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Приказом Минфина от 06.12.2010 № 162н «Об утверждении Плана счетов бюджетного учета и Инструкции по его применению» (далее – Инструкция № 162н);</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 </w:t>
      </w:r>
      <w:hyperlink r:id="rId11" w:history="1">
        <w:r>
          <w:rPr>
            <w:rFonts w:ascii="Times New Roman" w:hAnsi="Times New Roman"/>
            <w:sz w:val="26"/>
          </w:rPr>
          <w:t>Приказ</w:t>
        </w:r>
      </w:hyperlink>
      <w:r>
        <w:rPr>
          <w:rFonts w:ascii="Times New Roman" w:hAnsi="Times New Roman"/>
          <w:sz w:val="26"/>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 52н);</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lastRenderedPageBreak/>
        <w:t xml:space="preserve">- Методические </w:t>
      </w:r>
      <w:hyperlink r:id="rId12" w:history="1">
        <w:r>
          <w:rPr>
            <w:rFonts w:ascii="Times New Roman" w:hAnsi="Times New Roman"/>
            <w:sz w:val="26"/>
          </w:rPr>
          <w:t>указания</w:t>
        </w:r>
      </w:hyperlink>
      <w:r>
        <w:rPr>
          <w:rFonts w:ascii="Times New Roman" w:hAnsi="Times New Roman"/>
          <w:sz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указания № 52н);</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Приказ Минфина России от 15 апреля 2021 г.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Минфина России № 61н);</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 </w:t>
      </w:r>
      <w:hyperlink r:id="rId13" w:history="1">
        <w:r>
          <w:rPr>
            <w:rFonts w:ascii="Times New Roman" w:hAnsi="Times New Roman"/>
            <w:sz w:val="26"/>
          </w:rPr>
          <w:t>Указание</w:t>
        </w:r>
      </w:hyperlink>
      <w:r>
        <w:rPr>
          <w:rFonts w:ascii="Times New Roman" w:hAnsi="Times New Roman"/>
          <w:sz w:val="26"/>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 </w:t>
      </w:r>
      <w:hyperlink r:id="rId14" w:history="1">
        <w:r>
          <w:rPr>
            <w:rFonts w:ascii="Times New Roman" w:hAnsi="Times New Roman"/>
            <w:sz w:val="26"/>
          </w:rPr>
          <w:t>Указание</w:t>
        </w:r>
      </w:hyperlink>
      <w:r>
        <w:rPr>
          <w:rFonts w:ascii="Times New Roman" w:hAnsi="Times New Roman"/>
          <w:sz w:val="26"/>
        </w:rPr>
        <w:t xml:space="preserve"> Банка России от 09.12.2019 № 5348-У "О правилах наличных расчетов" (далее - Указание № 5348-У);</w:t>
      </w:r>
    </w:p>
    <w:p w:rsidR="005109DA" w:rsidRDefault="00000000">
      <w:pPr>
        <w:pStyle w:val="ConsPlusNormal"/>
        <w:spacing w:before="220" w:line="276" w:lineRule="auto"/>
        <w:ind w:left="-426" w:firstLine="426"/>
        <w:contextualSpacing/>
        <w:jc w:val="both"/>
        <w:rPr>
          <w:rFonts w:ascii="Times New Roman" w:hAnsi="Times New Roman"/>
          <w:sz w:val="26"/>
          <w:shd w:val="clear" w:color="auto" w:fill="FFD821"/>
        </w:rPr>
      </w:pPr>
      <w:r>
        <w:rPr>
          <w:rFonts w:ascii="Times New Roman" w:hAnsi="Times New Roman"/>
          <w:sz w:val="26"/>
        </w:rPr>
        <w:t xml:space="preserve">- Методические </w:t>
      </w:r>
      <w:hyperlink r:id="rId15" w:history="1">
        <w:r>
          <w:rPr>
            <w:rFonts w:ascii="Times New Roman" w:hAnsi="Times New Roman"/>
            <w:sz w:val="26"/>
          </w:rPr>
          <w:t>рекомендации</w:t>
        </w:r>
      </w:hyperlink>
      <w:r>
        <w:rPr>
          <w:rFonts w:ascii="Times New Roman" w:hAnsi="Times New Roman"/>
          <w:sz w:val="26"/>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рекомендации № АМ-23-р);</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 </w:t>
      </w:r>
      <w:hyperlink r:id="rId16" w:history="1">
        <w:r>
          <w:rPr>
            <w:rFonts w:ascii="Times New Roman" w:hAnsi="Times New Roman"/>
            <w:sz w:val="26"/>
          </w:rPr>
          <w:t>Инструкция</w:t>
        </w:r>
      </w:hyperlink>
      <w:r>
        <w:rPr>
          <w:rFonts w:ascii="Times New Roman" w:hAnsi="Times New Roman"/>
          <w:sz w:val="26"/>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Инструкция № 33н);</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 </w:t>
      </w:r>
      <w:hyperlink r:id="rId17" w:history="1">
        <w:r>
          <w:rPr>
            <w:rFonts w:ascii="Times New Roman" w:hAnsi="Times New Roman"/>
            <w:sz w:val="26"/>
          </w:rPr>
          <w:t>Приказ</w:t>
        </w:r>
      </w:hyperlink>
      <w:r>
        <w:rPr>
          <w:rFonts w:ascii="Times New Roman" w:hAnsi="Times New Roman"/>
          <w:sz w:val="26"/>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 231н);</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 </w:t>
      </w:r>
      <w:hyperlink r:id="rId18" w:history="1">
        <w:r>
          <w:rPr>
            <w:rFonts w:ascii="Times New Roman" w:hAnsi="Times New Roman"/>
            <w:sz w:val="26"/>
          </w:rPr>
          <w:t>Порядок</w:t>
        </w:r>
      </w:hyperlink>
      <w:r>
        <w:rPr>
          <w:rFonts w:ascii="Times New Roman" w:hAnsi="Times New Roman"/>
          <w:sz w:val="26"/>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Порядок № 82н);</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 </w:t>
      </w:r>
      <w:hyperlink r:id="rId19" w:history="1">
        <w:r>
          <w:rPr>
            <w:rFonts w:ascii="Times New Roman" w:hAnsi="Times New Roman"/>
            <w:sz w:val="26"/>
          </w:rPr>
          <w:t>Порядок</w:t>
        </w:r>
      </w:hyperlink>
      <w:r>
        <w:rPr>
          <w:rFonts w:ascii="Times New Roman" w:hAnsi="Times New Roman"/>
          <w:sz w:val="26"/>
        </w:rPr>
        <w:t xml:space="preserve"> применения классификации операций сектора государственного управления, утвержденный Приказом Минфина России от 29.11.2017 № 209н (далее - Порядок применения КОСГУ, Порядок № 209н);</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Правила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от 15.05.2020 №22н (далее - Правила)</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от 20.12.2019 №236 (далее – Перечень);</w:t>
      </w:r>
    </w:p>
    <w:p w:rsidR="005109DA" w:rsidRDefault="00000000">
      <w:pPr>
        <w:pStyle w:val="ConsPlusNormal"/>
        <w:numPr>
          <w:ilvl w:val="0"/>
          <w:numId w:val="1"/>
        </w:numPr>
        <w:spacing w:before="220" w:line="276" w:lineRule="auto"/>
        <w:ind w:left="-425" w:firstLine="0"/>
        <w:contextualSpacing/>
        <w:jc w:val="both"/>
        <w:rPr>
          <w:rFonts w:ascii="Times New Roman" w:hAnsi="Times New Roman"/>
          <w:sz w:val="26"/>
        </w:rPr>
      </w:pPr>
      <w:r>
        <w:rPr>
          <w:rFonts w:ascii="Times New Roman" w:hAnsi="Times New Roman"/>
          <w:sz w:val="26"/>
        </w:rPr>
        <w:t xml:space="preserve"> Федеральными стандартами бухгалтерского учета государственных финансов, </w:t>
      </w:r>
      <w:r>
        <w:rPr>
          <w:rFonts w:ascii="Times New Roman" w:hAnsi="Times New Roman"/>
          <w:sz w:val="26"/>
        </w:rPr>
        <w:lastRenderedPageBreak/>
        <w:t>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 от 30.10.2020 № 254н (далее – СГС «Метод долевого участия»), от 16.12.2020 № 310н (далее – СГС «Биологические активы»), от 15.06.2021 №84н (далее - СГС «Государственная (муниципальная) казна»).</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1.2. Ответственность за формирование единой учетной политики возложена                             на главного бухгалтера централизованной бухгалтерии.</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Единая учетная политика является обязательной для применения всеми субъектами централизованного учета, передавшими полномочия по ведению единого централизованного учета,  применяется последовательно из года в год.</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п.6 Инструкции № 157н,  п.п.7,8 СГС "Учетная политика")</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1.3. Основные положения единой учетной политики являются публичными                       и раскрытие общих ее положений подлежат публикации субъектами централизованного учета на сайте в информационно-телекоммуникационной сети Интернет. </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sz w:val="26"/>
        </w:rPr>
        <w:t xml:space="preserve"> </w:t>
      </w:r>
      <w:r>
        <w:rPr>
          <w:rFonts w:ascii="Times New Roman" w:hAnsi="Times New Roman"/>
          <w:i/>
          <w:sz w:val="26"/>
        </w:rPr>
        <w:t>(Основание: п.12 СГС "Концептуальные основы", п.9 СГС «Учетная политика»)</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1.4. Передача централизованной бухгалтерии полномочий по ведению бухгалтерского учета субъекта централизованного учета происходит на основании решения администрации Кировского района.</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Функция по ведению бухгалтерского учета осуществляется централизованной бухгалтерией в соответствии с заключенным договором на оказание услуг                               по бухгалтерскому обслуживанию с субъектом централизованного учета.</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В случае возникновения разногласий в отношении ведения бухгалтерского учета между руководителем субъекта централизованного учета и директором, главным бухгалтером централизованной бухгалтерии данные, содержащиеся в первичном документе принимаются к регистрации и накоплению в регистрах бухгалтерского учета по письменному распоряжению руководителя субъекта централизованного учета, который единолично несет ответственность за созданную в результате этого информацию.</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 (Основание: ч.3, 3.1 ст.7 Закона № 402-ФЗ, п.5 Инструкции № 157н, п.10.1. ст.161 БК РФ)</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lastRenderedPageBreak/>
        <w:t>1.5. При ведении бухгалтерского учета работники централизованной бухгалтерии руководствуются положением об отделе и должностными инструкциями.</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Ответственным за ведение бухгалтерского учета является главный бухгалтер.</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ч.3 ст.7 Закона № 402-ФЗ, п.4 Инструкции № 157н)</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1.6. Руководитель субъекта централизованного учета приказом утверждает действующие постоянные комиссии.</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1.7. Изменения в единую учетную политику для целей бухгалтерского учета вносятся централизованной бухгалтерией в следующих случаях:</w:t>
      </w:r>
    </w:p>
    <w:p w:rsidR="005109DA" w:rsidRDefault="00000000">
      <w:pPr>
        <w:pStyle w:val="ConsPlusNormal"/>
        <w:numPr>
          <w:ilvl w:val="0"/>
          <w:numId w:val="2"/>
        </w:numPr>
        <w:spacing w:before="220" w:line="276" w:lineRule="auto"/>
        <w:contextualSpacing/>
        <w:jc w:val="both"/>
        <w:rPr>
          <w:rFonts w:ascii="Times New Roman" w:hAnsi="Times New Roman"/>
          <w:sz w:val="26"/>
        </w:rPr>
      </w:pPr>
      <w:r>
        <w:rPr>
          <w:rFonts w:ascii="Times New Roman" w:hAnsi="Times New Roman"/>
          <w:sz w:val="26"/>
        </w:rPr>
        <w:t>при изменении требований, установленных законодательством РФ                         о бухгалтерском учете, федеральными и (или) отраслевыми стандартами;</w:t>
      </w:r>
    </w:p>
    <w:p w:rsidR="005109DA" w:rsidRDefault="00000000">
      <w:pPr>
        <w:pStyle w:val="ConsPlusNormal"/>
        <w:numPr>
          <w:ilvl w:val="0"/>
          <w:numId w:val="2"/>
        </w:numPr>
        <w:spacing w:before="220" w:line="276" w:lineRule="auto"/>
        <w:contextualSpacing/>
        <w:jc w:val="both"/>
        <w:rPr>
          <w:rFonts w:ascii="Times New Roman" w:hAnsi="Times New Roman"/>
          <w:sz w:val="26"/>
        </w:rPr>
      </w:pPr>
      <w:r>
        <w:rPr>
          <w:rFonts w:ascii="Times New Roman" w:hAnsi="Times New Roman"/>
          <w:sz w:val="26"/>
        </w:rPr>
        <w:t>разработке или выборе нового способа (правил) ведения бухгалтерского учета, применение которого приводит к повышению качества информации об объекте бухгалтерского учета;</w:t>
      </w:r>
    </w:p>
    <w:p w:rsidR="005109DA" w:rsidRDefault="00000000">
      <w:pPr>
        <w:pStyle w:val="ConsPlusNormal"/>
        <w:numPr>
          <w:ilvl w:val="0"/>
          <w:numId w:val="2"/>
        </w:numPr>
        <w:spacing w:before="220" w:line="276" w:lineRule="auto"/>
        <w:contextualSpacing/>
        <w:jc w:val="both"/>
        <w:rPr>
          <w:rFonts w:ascii="Times New Roman" w:hAnsi="Times New Roman"/>
          <w:sz w:val="26"/>
        </w:rPr>
      </w:pPr>
      <w:r>
        <w:rPr>
          <w:rFonts w:ascii="Times New Roman" w:hAnsi="Times New Roman"/>
          <w:sz w:val="26"/>
        </w:rPr>
        <w:t>существенном изменении условий деятельности субъектов централизованного учета, включая его реорганизацию, изменение возложенных на него полномочий или выполняемых им функций;</w:t>
      </w:r>
    </w:p>
    <w:p w:rsidR="005109DA" w:rsidRDefault="00000000">
      <w:pPr>
        <w:pStyle w:val="ConsPlusNormal"/>
        <w:numPr>
          <w:ilvl w:val="0"/>
          <w:numId w:val="2"/>
        </w:numPr>
        <w:spacing w:before="220" w:line="276" w:lineRule="auto"/>
        <w:contextualSpacing/>
        <w:jc w:val="both"/>
        <w:rPr>
          <w:rFonts w:ascii="Times New Roman" w:hAnsi="Times New Roman"/>
          <w:sz w:val="26"/>
        </w:rPr>
      </w:pPr>
      <w:r>
        <w:rPr>
          <w:rFonts w:ascii="Times New Roman" w:hAnsi="Times New Roman"/>
          <w:sz w:val="26"/>
        </w:rPr>
        <w:t>при поступлении от руководителя субъекта централизованного учета предложения по усовершенствованию методов ведения, включающего                       в себя следующую информацию:</w:t>
      </w:r>
    </w:p>
    <w:p w:rsidR="005109DA" w:rsidRDefault="00000000">
      <w:pPr>
        <w:pStyle w:val="ConsPlusNormal"/>
        <w:numPr>
          <w:ilvl w:val="0"/>
          <w:numId w:val="3"/>
        </w:numPr>
        <w:spacing w:before="220" w:line="276" w:lineRule="auto"/>
        <w:contextualSpacing/>
        <w:jc w:val="both"/>
        <w:rPr>
          <w:rFonts w:ascii="Times New Roman" w:hAnsi="Times New Roman"/>
          <w:sz w:val="26"/>
        </w:rPr>
      </w:pPr>
      <w:r>
        <w:rPr>
          <w:rFonts w:ascii="Times New Roman" w:hAnsi="Times New Roman"/>
          <w:sz w:val="26"/>
        </w:rPr>
        <w:t>обоснование необходимости внесения изменений, с приложением обоснования причины возникновения такого изменения;</w:t>
      </w:r>
    </w:p>
    <w:p w:rsidR="005109DA" w:rsidRDefault="00000000">
      <w:pPr>
        <w:pStyle w:val="ConsPlusNormal"/>
        <w:numPr>
          <w:ilvl w:val="0"/>
          <w:numId w:val="3"/>
        </w:numPr>
        <w:spacing w:before="220" w:line="276" w:lineRule="auto"/>
        <w:contextualSpacing/>
        <w:jc w:val="both"/>
        <w:rPr>
          <w:rFonts w:ascii="Times New Roman" w:hAnsi="Times New Roman"/>
          <w:sz w:val="26"/>
        </w:rPr>
      </w:pPr>
      <w:r>
        <w:rPr>
          <w:rFonts w:ascii="Times New Roman" w:hAnsi="Times New Roman"/>
          <w:sz w:val="26"/>
        </w:rPr>
        <w:t>данные, подтверждающие неэффективность или невозможность применения действующих положений единой учетной политики, ухудшающих качество и (или) препятствующих осуществление централизуемых полномочий;</w:t>
      </w:r>
    </w:p>
    <w:p w:rsidR="005109DA" w:rsidRDefault="00000000">
      <w:pPr>
        <w:pStyle w:val="ConsPlusNormal"/>
        <w:numPr>
          <w:ilvl w:val="0"/>
          <w:numId w:val="3"/>
        </w:numPr>
        <w:spacing w:before="220" w:line="276" w:lineRule="auto"/>
        <w:contextualSpacing/>
        <w:jc w:val="both"/>
        <w:rPr>
          <w:rFonts w:ascii="Times New Roman" w:hAnsi="Times New Roman"/>
          <w:sz w:val="26"/>
        </w:rPr>
      </w:pPr>
      <w:r>
        <w:rPr>
          <w:rFonts w:ascii="Times New Roman" w:hAnsi="Times New Roman"/>
          <w:sz w:val="26"/>
        </w:rPr>
        <w:t>прогноз финансовых, экономических или иных последствий внесения таких изменений.</w:t>
      </w:r>
    </w:p>
    <w:p w:rsidR="005109DA" w:rsidRDefault="005109DA">
      <w:pPr>
        <w:pStyle w:val="ConsPlusNormal"/>
        <w:spacing w:before="220" w:line="276" w:lineRule="auto"/>
        <w:ind w:left="1440"/>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При поступлении от руководителя субъекта централизованного учета предложения централизованная бухгалтерия в течение 30-ти (тридцать) рабочих дней от даты поступления предложений рассматривает, принимает решение о внесении соответствующего изменения в единую учетную политику  либо подготавливает                                          и направляет в адрес субъекта централизованного учета мотивированный отказ                                        о нецелесообразности применения в едином централизованном учете тех или иных предложений ввиду их несоответствия принципам концептуальных основ бухгалтерского учета, утвержденных СГС «Концептуальные основы бухгалтерского учета и отчетности» и действующего законодательства.</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В период рассмотрения предложения по внесению изменений в единую учетную политику централизованная бухгалтерия может запросить у субъекта централизованного учета, выступающего инициатором внесения изменений дополнительную информацию.</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Решение о внесении соответствующего изменения в единую учетную политику централизованная бухгалтерия сообщает субъектам централизованного учета письменно путем направления приказа о внесении изменений в единую учетную политику и размещением его в информационно-телекоммуникационной сети Интернет https://www.gov.spb.ru/gov/terr/reg_kirovsk/.</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 п. п. 11,12,13 СГС "Учетная политика", п. 6 ст. 8 Закона                                     о бухгалтерском учете, п. 12 Федерального стандарта № 274н, п. 7 ст. 8 Закона                      о бухгалтерском учете, п. 13 Федерального стандарта № 274н)</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1.8. Бухгалтерский учет ведется в соответствии с Рабочим планом счетов                           и с применением дополнительных кодов синтетического и аналитического учета  (Приложение №1 единой учетной политики).</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Требования к структуре аналитического учета, утвержденные в рамках настоящей единой учетной политики, применяются непрерывно и изменяются при условии обеспечения сопоставимости показателей бухгалтерского (бюджетного) учета                          и отчетности за отчетный, текущий и очередной финансовый годы (очередной финансовый год и плановый период).</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подпункт «б» п.14 СГС «Концептуальные основы)</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bookmarkStart w:id="2" w:name="_Hlk117169517"/>
      <w:r>
        <w:rPr>
          <w:rFonts w:ascii="Times New Roman" w:hAnsi="Times New Roman"/>
          <w:sz w:val="26"/>
        </w:rPr>
        <w:t>1.9. В целях организации ведения бухгалтерского учета субъекта централизованного учета применяются следующие коды финансового обеспечения (деятельности):</w:t>
      </w:r>
    </w:p>
    <w:p w:rsidR="005109DA" w:rsidRDefault="00000000">
      <w:pPr>
        <w:pStyle w:val="ConsPlusNormal"/>
        <w:numPr>
          <w:ilvl w:val="0"/>
          <w:numId w:val="4"/>
        </w:numPr>
        <w:spacing w:before="220" w:line="276" w:lineRule="auto"/>
        <w:contextualSpacing/>
        <w:jc w:val="both"/>
        <w:rPr>
          <w:rFonts w:ascii="Times New Roman" w:hAnsi="Times New Roman"/>
          <w:sz w:val="26"/>
        </w:rPr>
      </w:pPr>
      <w:r>
        <w:rPr>
          <w:rFonts w:ascii="Times New Roman" w:hAnsi="Times New Roman"/>
          <w:sz w:val="26"/>
        </w:rPr>
        <w:t xml:space="preserve">«1» -  деятельность, осуществляемая  за счет средств соответствующего бюджета бюджетной системы РФ (бюджетная деятельность); </w:t>
      </w:r>
    </w:p>
    <w:p w:rsidR="005109DA" w:rsidRDefault="00000000">
      <w:pPr>
        <w:pStyle w:val="ConsPlusNormal"/>
        <w:numPr>
          <w:ilvl w:val="0"/>
          <w:numId w:val="4"/>
        </w:numPr>
        <w:spacing w:before="220" w:line="276" w:lineRule="auto"/>
        <w:contextualSpacing/>
        <w:jc w:val="both"/>
        <w:rPr>
          <w:rFonts w:ascii="Times New Roman" w:hAnsi="Times New Roman"/>
          <w:sz w:val="26"/>
        </w:rPr>
      </w:pPr>
      <w:r>
        <w:rPr>
          <w:rFonts w:ascii="Times New Roman" w:hAnsi="Times New Roman"/>
          <w:sz w:val="26"/>
        </w:rPr>
        <w:t>«2» -  приносящая доход деятельность (собственные средства субъекта централизованного учета);</w:t>
      </w:r>
    </w:p>
    <w:p w:rsidR="005109DA" w:rsidRDefault="00000000">
      <w:pPr>
        <w:pStyle w:val="ConsPlusNormal"/>
        <w:numPr>
          <w:ilvl w:val="0"/>
          <w:numId w:val="4"/>
        </w:numPr>
        <w:spacing w:before="220" w:line="276" w:lineRule="auto"/>
        <w:contextualSpacing/>
        <w:jc w:val="both"/>
        <w:rPr>
          <w:rFonts w:ascii="Times New Roman" w:hAnsi="Times New Roman"/>
          <w:sz w:val="26"/>
        </w:rPr>
      </w:pPr>
      <w:r>
        <w:rPr>
          <w:rFonts w:ascii="Times New Roman" w:hAnsi="Times New Roman"/>
          <w:sz w:val="26"/>
        </w:rPr>
        <w:t xml:space="preserve">«3» -      средства во временном распоряжении; </w:t>
      </w:r>
    </w:p>
    <w:p w:rsidR="005109DA" w:rsidRDefault="00000000">
      <w:pPr>
        <w:pStyle w:val="ConsPlusNormal"/>
        <w:numPr>
          <w:ilvl w:val="0"/>
          <w:numId w:val="4"/>
        </w:numPr>
        <w:spacing w:before="220" w:line="276" w:lineRule="auto"/>
        <w:contextualSpacing/>
        <w:jc w:val="both"/>
        <w:rPr>
          <w:rFonts w:ascii="Times New Roman" w:hAnsi="Times New Roman"/>
          <w:sz w:val="26"/>
        </w:rPr>
      </w:pPr>
      <w:r>
        <w:rPr>
          <w:rFonts w:ascii="Times New Roman" w:hAnsi="Times New Roman"/>
          <w:sz w:val="26"/>
        </w:rPr>
        <w:t>«4» -  деятельность по выполнению государственного (муниципального) задания;</w:t>
      </w:r>
    </w:p>
    <w:p w:rsidR="005109DA" w:rsidRDefault="00000000">
      <w:pPr>
        <w:pStyle w:val="ConsPlusNormal"/>
        <w:numPr>
          <w:ilvl w:val="0"/>
          <w:numId w:val="4"/>
        </w:numPr>
        <w:spacing w:before="220" w:line="276" w:lineRule="auto"/>
        <w:contextualSpacing/>
        <w:jc w:val="both"/>
        <w:rPr>
          <w:rFonts w:ascii="Times New Roman" w:hAnsi="Times New Roman"/>
          <w:sz w:val="26"/>
        </w:rPr>
      </w:pPr>
      <w:r>
        <w:rPr>
          <w:rFonts w:ascii="Times New Roman" w:hAnsi="Times New Roman"/>
          <w:sz w:val="26"/>
        </w:rPr>
        <w:t>«5» -   деятельность, осуществляемая за счет  средств субсидии на иные цели;</w:t>
      </w:r>
    </w:p>
    <w:p w:rsidR="005109DA" w:rsidRDefault="00000000">
      <w:pPr>
        <w:pStyle w:val="ConsPlusNormal"/>
        <w:numPr>
          <w:ilvl w:val="0"/>
          <w:numId w:val="4"/>
        </w:numPr>
        <w:spacing w:before="220" w:line="276" w:lineRule="auto"/>
        <w:ind w:left="284" w:firstLine="142"/>
        <w:contextualSpacing/>
        <w:jc w:val="both"/>
        <w:rPr>
          <w:rFonts w:ascii="Times New Roman" w:hAnsi="Times New Roman"/>
          <w:sz w:val="26"/>
        </w:rPr>
      </w:pPr>
      <w:r>
        <w:rPr>
          <w:rFonts w:ascii="Times New Roman" w:hAnsi="Times New Roman"/>
          <w:sz w:val="26"/>
        </w:rPr>
        <w:t xml:space="preserve"> «7» - деятельность, осуществляемая  по обязательному медицинскому страхованию.</w:t>
      </w:r>
      <w:bookmarkEnd w:id="2"/>
    </w:p>
    <w:p w:rsidR="005109DA" w:rsidRDefault="005109DA">
      <w:pPr>
        <w:pStyle w:val="ConsPlusNormal"/>
        <w:spacing w:before="220"/>
        <w:ind w:left="-426" w:firstLine="426"/>
        <w:contextualSpacing/>
        <w:jc w:val="center"/>
        <w:rPr>
          <w:rFonts w:ascii="Times New Roman" w:hAnsi="Times New Roman"/>
          <w:b/>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1.10.</w:t>
      </w:r>
      <w:r>
        <w:rPr>
          <w:rFonts w:ascii="Times New Roman" w:hAnsi="Times New Roman"/>
          <w:b/>
          <w:sz w:val="26"/>
        </w:rPr>
        <w:t xml:space="preserve"> </w:t>
      </w:r>
      <w:r>
        <w:rPr>
          <w:rFonts w:ascii="Times New Roman" w:hAnsi="Times New Roman"/>
          <w:sz w:val="26"/>
        </w:rPr>
        <w:t>Внутренний финансовый контроль совершаемых фактов хозяйственной жизни осуществляется в соответствии с порядком, приведенным в Приложении № 21 единой учетной политики.</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20" w:history="1">
        <w:r>
          <w:rPr>
            <w:rFonts w:ascii="Times New Roman" w:hAnsi="Times New Roman"/>
            <w:i/>
            <w:sz w:val="26"/>
          </w:rPr>
          <w:t>ч. 1 ст. 19</w:t>
        </w:r>
      </w:hyperlink>
      <w:r>
        <w:rPr>
          <w:rFonts w:ascii="Times New Roman" w:hAnsi="Times New Roman"/>
          <w:i/>
          <w:sz w:val="26"/>
        </w:rPr>
        <w:t xml:space="preserve"> Закона № 402-ФЗ, </w:t>
      </w:r>
      <w:hyperlink r:id="rId21" w:history="1">
        <w:r>
          <w:rPr>
            <w:rFonts w:ascii="Times New Roman" w:hAnsi="Times New Roman"/>
            <w:i/>
            <w:sz w:val="26"/>
          </w:rPr>
          <w:t>п. 23</w:t>
        </w:r>
      </w:hyperlink>
      <w:r>
        <w:rPr>
          <w:rFonts w:ascii="Times New Roman" w:hAnsi="Times New Roman"/>
          <w:i/>
          <w:sz w:val="26"/>
        </w:rPr>
        <w:t xml:space="preserve"> СГС "Концептуальные основы", </w:t>
      </w:r>
      <w:hyperlink r:id="rId22" w:history="1">
        <w:r>
          <w:rPr>
            <w:rFonts w:ascii="Times New Roman" w:hAnsi="Times New Roman"/>
            <w:i/>
            <w:sz w:val="26"/>
          </w:rPr>
          <w:t>п. 9</w:t>
        </w:r>
      </w:hyperlink>
      <w:r>
        <w:rPr>
          <w:rFonts w:ascii="Times New Roman" w:hAnsi="Times New Roman"/>
          <w:i/>
          <w:sz w:val="26"/>
        </w:rPr>
        <w:t xml:space="preserve"> СГС "Учетная политика")</w:t>
      </w:r>
    </w:p>
    <w:p w:rsidR="005109DA" w:rsidRDefault="005109DA">
      <w:pPr>
        <w:pStyle w:val="ConsPlusNormal"/>
        <w:spacing w:before="220"/>
        <w:ind w:left="-426" w:firstLine="426"/>
        <w:contextualSpacing/>
        <w:jc w:val="both"/>
        <w:rPr>
          <w:rFonts w:ascii="Times New Roman" w:hAnsi="Times New Roman"/>
          <w:b/>
          <w:sz w:val="26"/>
        </w:rPr>
      </w:pPr>
    </w:p>
    <w:p w:rsidR="005109DA" w:rsidRDefault="00000000">
      <w:pPr>
        <w:pStyle w:val="ConsPlusNormal"/>
        <w:spacing w:before="220"/>
        <w:ind w:left="-426" w:firstLine="426"/>
        <w:contextualSpacing/>
        <w:jc w:val="center"/>
        <w:rPr>
          <w:rFonts w:ascii="Times New Roman" w:hAnsi="Times New Roman"/>
          <w:b/>
          <w:sz w:val="26"/>
        </w:rPr>
      </w:pPr>
      <w:r>
        <w:rPr>
          <w:rFonts w:ascii="Times New Roman" w:hAnsi="Times New Roman"/>
          <w:b/>
          <w:sz w:val="26"/>
        </w:rPr>
        <w:t>2. Порядок обработки информации</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2.1. Бухгалтерский учет ведется в </w:t>
      </w:r>
      <w:bookmarkStart w:id="3" w:name="_Hlk122345917"/>
      <w:r>
        <w:rPr>
          <w:rFonts w:ascii="Times New Roman" w:hAnsi="Times New Roman"/>
          <w:sz w:val="26"/>
        </w:rPr>
        <w:t>государственной информационной системе Санкт-Петербурга «Единая информационно-аналитическая система бюджетного (бухгалтерского) учета (далее – ГИС ЕИАСБУ) с применением программных продуктов: «1С: Бухгалтерия государственного учреждения 8», «1С: «Зарплата                         и кадры государственного учреждения 8», «Парус -Бюджет 8 Расчет заработной платы»</w:t>
      </w:r>
      <w:bookmarkEnd w:id="3"/>
      <w:r>
        <w:rPr>
          <w:rFonts w:ascii="Times New Roman" w:hAnsi="Times New Roman"/>
          <w:sz w:val="26"/>
        </w:rPr>
        <w:t>.</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  С использованием телекоммуникационных каналов связи и электронной подписи централизованная бухгалтерия субъекта централизованного учета осуществляет электронный документооборот по следующим направлениям:</w:t>
      </w:r>
    </w:p>
    <w:p w:rsidR="005109DA" w:rsidRDefault="00000000">
      <w:pPr>
        <w:pStyle w:val="ConsPlusNormal"/>
        <w:numPr>
          <w:ilvl w:val="0"/>
          <w:numId w:val="5"/>
        </w:numPr>
        <w:spacing w:before="220" w:line="276" w:lineRule="auto"/>
        <w:contextualSpacing/>
        <w:jc w:val="both"/>
        <w:rPr>
          <w:rFonts w:ascii="Times New Roman" w:hAnsi="Times New Roman"/>
          <w:sz w:val="26"/>
        </w:rPr>
      </w:pPr>
      <w:r>
        <w:rPr>
          <w:rFonts w:ascii="Times New Roman" w:hAnsi="Times New Roman"/>
          <w:sz w:val="26"/>
        </w:rPr>
        <w:t>система электронного документооборота с территориальным органом Федерального казначейства;</w:t>
      </w:r>
    </w:p>
    <w:p w:rsidR="005109DA" w:rsidRDefault="00000000">
      <w:pPr>
        <w:pStyle w:val="ConsPlusNormal"/>
        <w:numPr>
          <w:ilvl w:val="0"/>
          <w:numId w:val="5"/>
        </w:numPr>
        <w:spacing w:before="220" w:line="276" w:lineRule="auto"/>
        <w:contextualSpacing/>
        <w:jc w:val="both"/>
        <w:rPr>
          <w:rFonts w:ascii="Times New Roman" w:hAnsi="Times New Roman"/>
          <w:sz w:val="26"/>
        </w:rPr>
      </w:pPr>
      <w:r>
        <w:rPr>
          <w:rFonts w:ascii="Times New Roman" w:hAnsi="Times New Roman"/>
          <w:sz w:val="26"/>
        </w:rPr>
        <w:t>передача бухгалтерской отчетности учредителю (АИС БП-ЭК);</w:t>
      </w:r>
    </w:p>
    <w:p w:rsidR="005109DA" w:rsidRDefault="00000000">
      <w:pPr>
        <w:pStyle w:val="ConsPlusNormal"/>
        <w:numPr>
          <w:ilvl w:val="0"/>
          <w:numId w:val="5"/>
        </w:numPr>
        <w:spacing w:before="220" w:line="276" w:lineRule="auto"/>
        <w:contextualSpacing/>
        <w:jc w:val="both"/>
        <w:rPr>
          <w:rFonts w:ascii="Times New Roman" w:hAnsi="Times New Roman"/>
          <w:sz w:val="26"/>
        </w:rPr>
      </w:pPr>
      <w:r>
        <w:rPr>
          <w:rFonts w:ascii="Times New Roman" w:hAnsi="Times New Roman"/>
          <w:sz w:val="26"/>
        </w:rPr>
        <w:t>передача отчетности по налогам, сборам и иным обязательным платежам                       в инспекцию Федеральной налоговой службы, органы статистики;</w:t>
      </w:r>
    </w:p>
    <w:p w:rsidR="005109DA" w:rsidRDefault="00000000">
      <w:pPr>
        <w:pStyle w:val="ConsPlusNormal"/>
        <w:numPr>
          <w:ilvl w:val="0"/>
          <w:numId w:val="5"/>
        </w:numPr>
        <w:spacing w:before="220" w:line="276" w:lineRule="auto"/>
        <w:contextualSpacing/>
        <w:jc w:val="both"/>
        <w:rPr>
          <w:rFonts w:ascii="Times New Roman" w:hAnsi="Times New Roman"/>
          <w:sz w:val="26"/>
        </w:rPr>
      </w:pPr>
      <w:r>
        <w:rPr>
          <w:rFonts w:ascii="Times New Roman" w:hAnsi="Times New Roman"/>
          <w:sz w:val="26"/>
        </w:rPr>
        <w:t>передача отчетности в отделение Фонда пенсионного и социального страхования;</w:t>
      </w:r>
    </w:p>
    <w:p w:rsidR="005109DA" w:rsidRDefault="00000000">
      <w:pPr>
        <w:pStyle w:val="ConsPlusNormal"/>
        <w:numPr>
          <w:ilvl w:val="0"/>
          <w:numId w:val="5"/>
        </w:numPr>
        <w:spacing w:before="220"/>
        <w:contextualSpacing/>
        <w:jc w:val="both"/>
        <w:rPr>
          <w:rFonts w:ascii="Times New Roman" w:hAnsi="Times New Roman"/>
          <w:sz w:val="26"/>
        </w:rPr>
      </w:pPr>
      <w:r>
        <w:rPr>
          <w:rFonts w:ascii="Times New Roman" w:hAnsi="Times New Roman"/>
          <w:sz w:val="26"/>
        </w:rPr>
        <w:t>сервис электронного взаимодействия "Социальный электронный документооборот" (СЭДО) (https://sedo.fss.ru/sedo.html).</w:t>
      </w:r>
    </w:p>
    <w:p w:rsidR="005109DA" w:rsidRDefault="005109DA">
      <w:pPr>
        <w:pStyle w:val="ConsPlusNormal"/>
        <w:spacing w:before="220" w:line="276" w:lineRule="auto"/>
        <w:ind w:left="720"/>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Обмен электронными первичными документами внутри субъекта централизованного учета осуществляется в ГИС ЕИАСБУ с использованием бухгалтерской программы «1С: Бухгалтерия государственного учреждения 8 КОРП».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Формирование и передача налоговой отчетности субъекта централизованного учета осуществляется по электронным каналам связи ГИС ЕИАСБУ в виде электронного документа, подписанного квалифицированной электронной подписью.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СУФД-online. </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23" w:history="1">
        <w:r>
          <w:rPr>
            <w:rFonts w:ascii="Times New Roman" w:hAnsi="Times New Roman"/>
            <w:i/>
            <w:sz w:val="26"/>
          </w:rPr>
          <w:t>п.19</w:t>
        </w:r>
      </w:hyperlink>
      <w:r>
        <w:rPr>
          <w:rFonts w:ascii="Times New Roman" w:hAnsi="Times New Roman"/>
          <w:i/>
          <w:sz w:val="26"/>
        </w:rPr>
        <w:t xml:space="preserve"> Инструкции № 157н, </w:t>
      </w:r>
      <w:hyperlink r:id="rId24" w:history="1">
        <w:r>
          <w:rPr>
            <w:rFonts w:ascii="Times New Roman" w:hAnsi="Times New Roman"/>
            <w:i/>
            <w:sz w:val="26"/>
          </w:rPr>
          <w:t>п.9</w:t>
        </w:r>
      </w:hyperlink>
      <w:r>
        <w:rPr>
          <w:rFonts w:ascii="Times New Roman" w:hAnsi="Times New Roman"/>
          <w:i/>
          <w:sz w:val="26"/>
        </w:rPr>
        <w:t xml:space="preserve"> СГС "Учетная политика", п. п. п. 13,19,28, СГС "Концептуальные основы")</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2.2. Хранение и защиту информации, содержащейся в ГИС ЕИАСБУ, обеспечивает Комитет финансов Санкт-Петербурга.</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п.п.13,33 СГС "Концептуальные основы", Постановление  Правительства Санкт-Петербурга от 30.01.2018 №55)</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center"/>
        <w:rPr>
          <w:rFonts w:ascii="Times New Roman" w:hAnsi="Times New Roman"/>
          <w:b/>
          <w:sz w:val="26"/>
        </w:rPr>
      </w:pPr>
      <w:r>
        <w:rPr>
          <w:rFonts w:ascii="Times New Roman" w:hAnsi="Times New Roman"/>
          <w:b/>
          <w:sz w:val="26"/>
        </w:rPr>
        <w:t>3. Правила документооборота</w:t>
      </w:r>
    </w:p>
    <w:p w:rsidR="005109DA" w:rsidRDefault="005109DA">
      <w:pPr>
        <w:pStyle w:val="ConsPlusNormal"/>
        <w:spacing w:before="220" w:line="276" w:lineRule="auto"/>
        <w:ind w:left="-426" w:firstLine="426"/>
        <w:contextualSpacing/>
        <w:jc w:val="center"/>
        <w:rPr>
          <w:rFonts w:ascii="Times New Roman" w:hAnsi="Times New Roman"/>
          <w:b/>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3.1. Порядок и сроки передачи первичных документов для отражения                                            в бухгалтерском учете, а также технология обработки информации установлены                         в графике документооборота (Приложение № 2 единой учетной политики).</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В случае если первичный документ не указан в графике документооборота, взаимодействие между централизованной бухгалтерией и субъектом централизованного учета происходит в рамках заключенного договора на оказание услуг по бухгалтерскому обслуживанию.</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подпункт «д» </w:t>
      </w:r>
      <w:hyperlink r:id="rId25" w:history="1">
        <w:r>
          <w:rPr>
            <w:rFonts w:ascii="Times New Roman" w:hAnsi="Times New Roman"/>
            <w:i/>
            <w:sz w:val="26"/>
          </w:rPr>
          <w:t>п. 9</w:t>
        </w:r>
      </w:hyperlink>
      <w:r>
        <w:rPr>
          <w:rFonts w:ascii="Times New Roman" w:hAnsi="Times New Roman"/>
          <w:i/>
          <w:sz w:val="26"/>
        </w:rPr>
        <w:t xml:space="preserve"> СГС "Учетная политика", п.22 СГС "Концептуальные основы")</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color w:val="FF0000"/>
          <w:sz w:val="26"/>
        </w:rPr>
      </w:pPr>
      <w:r>
        <w:rPr>
          <w:rFonts w:ascii="Times New Roman" w:hAnsi="Times New Roman"/>
          <w:sz w:val="26"/>
        </w:rPr>
        <w:t xml:space="preserve">3.2. Право подписи первичных бумажных документов и регистров бухгалтерского учета предоставлено работникам: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8"/>
        <w:gridCol w:w="4331"/>
        <w:gridCol w:w="2256"/>
      </w:tblGrid>
      <w:tr w:rsidR="005109DA">
        <w:tc>
          <w:tcPr>
            <w:tcW w:w="2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000000">
            <w:pPr>
              <w:jc w:val="center"/>
              <w:rPr>
                <w:rFonts w:ascii="Times New Roman" w:hAnsi="Times New Roman"/>
                <w:b/>
                <w:sz w:val="24"/>
              </w:rPr>
            </w:pPr>
            <w:r>
              <w:rPr>
                <w:rFonts w:ascii="Times New Roman" w:hAnsi="Times New Roman"/>
                <w:b/>
                <w:sz w:val="24"/>
              </w:rPr>
              <w:t>Должность</w:t>
            </w:r>
          </w:p>
          <w:p w:rsidR="005109DA" w:rsidRDefault="005109DA">
            <w:pPr>
              <w:jc w:val="center"/>
              <w:rPr>
                <w:rFonts w:ascii="Times New Roman" w:hAnsi="Times New Roman"/>
                <w:b/>
                <w:sz w:val="24"/>
              </w:rPr>
            </w:pP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000000">
            <w:pPr>
              <w:jc w:val="center"/>
              <w:rPr>
                <w:rFonts w:ascii="Times New Roman" w:hAnsi="Times New Roman"/>
                <w:b/>
                <w:sz w:val="24"/>
              </w:rPr>
            </w:pPr>
            <w:r>
              <w:rPr>
                <w:rFonts w:ascii="Times New Roman" w:hAnsi="Times New Roman"/>
                <w:b/>
                <w:sz w:val="24"/>
              </w:rPr>
              <w:t>Наименование документов</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000000">
            <w:pPr>
              <w:jc w:val="center"/>
              <w:rPr>
                <w:rFonts w:ascii="Times New Roman" w:hAnsi="Times New Roman"/>
                <w:b/>
                <w:sz w:val="24"/>
              </w:rPr>
            </w:pPr>
            <w:r>
              <w:rPr>
                <w:rFonts w:ascii="Times New Roman" w:hAnsi="Times New Roman"/>
                <w:b/>
                <w:sz w:val="24"/>
              </w:rPr>
              <w:t>Примечание</w:t>
            </w:r>
          </w:p>
        </w:tc>
      </w:tr>
      <w:tr w:rsidR="005109DA">
        <w:trPr>
          <w:trHeight w:val="427"/>
        </w:trPr>
        <w:tc>
          <w:tcPr>
            <w:tcW w:w="2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000000">
            <w:pPr>
              <w:jc w:val="center"/>
              <w:rPr>
                <w:rFonts w:ascii="Times New Roman" w:hAnsi="Times New Roman"/>
                <w:sz w:val="24"/>
              </w:rPr>
            </w:pPr>
            <w:r>
              <w:rPr>
                <w:rFonts w:ascii="Times New Roman" w:hAnsi="Times New Roman"/>
                <w:sz w:val="24"/>
              </w:rPr>
              <w:t>Руководитель</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000000">
            <w:pPr>
              <w:jc w:val="center"/>
              <w:rPr>
                <w:rFonts w:ascii="Times New Roman" w:hAnsi="Times New Roman"/>
                <w:sz w:val="24"/>
              </w:rPr>
            </w:pPr>
            <w:r>
              <w:rPr>
                <w:rFonts w:ascii="Times New Roman" w:hAnsi="Times New Roman"/>
                <w:sz w:val="24"/>
              </w:rPr>
              <w:t>Все документы</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5109DA">
            <w:pPr>
              <w:jc w:val="center"/>
              <w:rPr>
                <w:rFonts w:ascii="Times New Roman" w:hAnsi="Times New Roman"/>
                <w:b/>
                <w:sz w:val="24"/>
              </w:rPr>
            </w:pPr>
          </w:p>
        </w:tc>
      </w:tr>
      <w:tr w:rsidR="005109DA">
        <w:trPr>
          <w:trHeight w:val="419"/>
        </w:trPr>
        <w:tc>
          <w:tcPr>
            <w:tcW w:w="2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000000">
            <w:pPr>
              <w:jc w:val="center"/>
              <w:rPr>
                <w:rFonts w:ascii="Times New Roman" w:hAnsi="Times New Roman"/>
                <w:sz w:val="24"/>
              </w:rPr>
            </w:pPr>
            <w:r>
              <w:rPr>
                <w:rFonts w:ascii="Times New Roman" w:hAnsi="Times New Roman"/>
                <w:sz w:val="24"/>
              </w:rPr>
              <w:t>Главный бухгалтер</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000000">
            <w:pPr>
              <w:jc w:val="center"/>
              <w:rPr>
                <w:rFonts w:ascii="Times New Roman" w:hAnsi="Times New Roman"/>
                <w:sz w:val="24"/>
              </w:rPr>
            </w:pPr>
            <w:r>
              <w:rPr>
                <w:rFonts w:ascii="Times New Roman" w:hAnsi="Times New Roman"/>
                <w:sz w:val="24"/>
              </w:rPr>
              <w:t>Все документы</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5109DA">
            <w:pPr>
              <w:jc w:val="center"/>
              <w:rPr>
                <w:rFonts w:ascii="Times New Roman" w:hAnsi="Times New Roman"/>
                <w:sz w:val="24"/>
              </w:rPr>
            </w:pPr>
          </w:p>
        </w:tc>
      </w:tr>
      <w:tr w:rsidR="005109DA">
        <w:trPr>
          <w:trHeight w:val="637"/>
        </w:trPr>
        <w:tc>
          <w:tcPr>
            <w:tcW w:w="2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000000">
            <w:pPr>
              <w:jc w:val="center"/>
              <w:rPr>
                <w:rFonts w:ascii="Times New Roman" w:hAnsi="Times New Roman"/>
                <w:sz w:val="24"/>
              </w:rPr>
            </w:pPr>
            <w:r>
              <w:rPr>
                <w:rFonts w:ascii="Times New Roman" w:hAnsi="Times New Roman"/>
                <w:sz w:val="24"/>
              </w:rPr>
              <w:t>Заместитель директора</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000000">
            <w:pPr>
              <w:jc w:val="center"/>
              <w:rPr>
                <w:rFonts w:ascii="Times New Roman" w:hAnsi="Times New Roman"/>
                <w:sz w:val="24"/>
              </w:rPr>
            </w:pPr>
            <w:r>
              <w:rPr>
                <w:rFonts w:ascii="Times New Roman" w:hAnsi="Times New Roman"/>
                <w:sz w:val="24"/>
              </w:rPr>
              <w:t>Все документы</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000000">
            <w:pPr>
              <w:jc w:val="center"/>
              <w:rPr>
                <w:rFonts w:ascii="Times New Roman" w:hAnsi="Times New Roman"/>
                <w:sz w:val="24"/>
              </w:rPr>
            </w:pPr>
            <w:r>
              <w:rPr>
                <w:rFonts w:ascii="Times New Roman" w:hAnsi="Times New Roman"/>
                <w:sz w:val="24"/>
              </w:rPr>
              <w:t>За руководителя                в его отсутствие</w:t>
            </w:r>
          </w:p>
        </w:tc>
      </w:tr>
      <w:tr w:rsidR="005109DA">
        <w:trPr>
          <w:trHeight w:val="417"/>
        </w:trPr>
        <w:tc>
          <w:tcPr>
            <w:tcW w:w="27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000000">
            <w:pPr>
              <w:jc w:val="center"/>
              <w:rPr>
                <w:rFonts w:ascii="Times New Roman" w:hAnsi="Times New Roman"/>
                <w:sz w:val="24"/>
              </w:rPr>
            </w:pPr>
            <w:r>
              <w:rPr>
                <w:rFonts w:ascii="Times New Roman" w:hAnsi="Times New Roman"/>
                <w:sz w:val="24"/>
              </w:rPr>
              <w:t>Заместитель главного бухгалтера</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000000">
            <w:pPr>
              <w:jc w:val="center"/>
              <w:rPr>
                <w:rFonts w:ascii="Times New Roman" w:hAnsi="Times New Roman"/>
                <w:sz w:val="24"/>
              </w:rPr>
            </w:pPr>
            <w:r>
              <w:rPr>
                <w:rFonts w:ascii="Times New Roman" w:hAnsi="Times New Roman"/>
                <w:sz w:val="24"/>
              </w:rPr>
              <w:t>Регистры бухгалтерского учета, первичные документы, передаваемые на сторону.</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5109DA">
            <w:pPr>
              <w:jc w:val="center"/>
              <w:rPr>
                <w:rFonts w:ascii="Times New Roman" w:hAnsi="Times New Roman"/>
                <w:sz w:val="24"/>
              </w:rPr>
            </w:pPr>
          </w:p>
        </w:tc>
      </w:tr>
      <w:tr w:rsidR="005109DA">
        <w:trPr>
          <w:trHeight w:val="417"/>
        </w:trPr>
        <w:tc>
          <w:tcPr>
            <w:tcW w:w="27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5109DA"/>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000000">
            <w:pPr>
              <w:jc w:val="center"/>
              <w:rPr>
                <w:rFonts w:ascii="Times New Roman" w:hAnsi="Times New Roman"/>
                <w:sz w:val="24"/>
              </w:rPr>
            </w:pPr>
            <w:r>
              <w:rPr>
                <w:rFonts w:ascii="Times New Roman" w:hAnsi="Times New Roman"/>
                <w:sz w:val="24"/>
              </w:rPr>
              <w:t>Все документы</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000000">
            <w:pPr>
              <w:jc w:val="center"/>
              <w:rPr>
                <w:rFonts w:ascii="Times New Roman" w:hAnsi="Times New Roman"/>
                <w:sz w:val="24"/>
              </w:rPr>
            </w:pPr>
            <w:r>
              <w:rPr>
                <w:rFonts w:ascii="Times New Roman" w:hAnsi="Times New Roman"/>
                <w:sz w:val="24"/>
              </w:rPr>
              <w:t>За главного бухгалтера в его отсутствие</w:t>
            </w:r>
          </w:p>
        </w:tc>
      </w:tr>
      <w:tr w:rsidR="005109DA">
        <w:trPr>
          <w:trHeight w:val="562"/>
        </w:trPr>
        <w:tc>
          <w:tcPr>
            <w:tcW w:w="2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000000">
            <w:pPr>
              <w:jc w:val="center"/>
              <w:rPr>
                <w:rFonts w:ascii="Times New Roman" w:hAnsi="Times New Roman"/>
                <w:sz w:val="24"/>
              </w:rPr>
            </w:pPr>
            <w:r>
              <w:rPr>
                <w:rFonts w:ascii="Times New Roman" w:hAnsi="Times New Roman"/>
                <w:sz w:val="24"/>
              </w:rPr>
              <w:t>Бухгалтер</w:t>
            </w:r>
          </w:p>
        </w:tc>
        <w:tc>
          <w:tcPr>
            <w:tcW w:w="4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000000">
            <w:pPr>
              <w:jc w:val="center"/>
              <w:rPr>
                <w:rFonts w:ascii="Times New Roman" w:hAnsi="Times New Roman"/>
                <w:b/>
                <w:sz w:val="24"/>
              </w:rPr>
            </w:pPr>
            <w:r>
              <w:rPr>
                <w:rFonts w:ascii="Times New Roman" w:hAnsi="Times New Roman"/>
                <w:sz w:val="24"/>
              </w:rPr>
              <w:t>Регистры бухгалтерского учета, первичные документы, передаваемые на сторону, содержащие реквизиты исполнителя.</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9DA" w:rsidRDefault="005109DA">
            <w:pPr>
              <w:jc w:val="center"/>
              <w:rPr>
                <w:rFonts w:ascii="Times New Roman" w:hAnsi="Times New Roman"/>
                <w:b/>
                <w:sz w:val="24"/>
              </w:rPr>
            </w:pPr>
          </w:p>
        </w:tc>
      </w:tr>
    </w:tbl>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3.3. Право подписи электронных первичных  документов и регистров бухгалтерского учета представлено в Приложении №2 единой учетной политики.</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3.4. Перечень, а также формы первичных документов и иных документов бухгалтерского (бюджетного) учета, применяемых централизованной бухгалтерией при ведении единого централизованного учета хозяйственной деятельности субъектов централизованного учета, определены  Приложением  №5</w:t>
      </w:r>
      <w:r>
        <w:t xml:space="preserve"> </w:t>
      </w:r>
      <w:r>
        <w:rPr>
          <w:rFonts w:ascii="Times New Roman" w:hAnsi="Times New Roman"/>
          <w:sz w:val="26"/>
        </w:rPr>
        <w:t xml:space="preserve">единой учетной политики. </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ст.9 Закона № 402-ФЗ, п.п.25,26 СГС "Концептуальные основы",             п. 9 СГС "Учетная политика", Методические указания № 52н)</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3.5. Формирование и подписание электронных первичных документов                             и электронных регистров бухгалтерского учета осуществляется ответственными лицами, уполномоченными на осуществление таких действий приказом руководителя субъекта централизованного учета.</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В случае отсутствия организационно-технической возможности формирование и хранение электронных первичных документов и регистров учета осуществляется                     на бумажном носителе (скан-копии), содержащие собственноручные подписи.</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 Ответственность за соответствие скан-копии подлиннику документа возлагается на лицо, отвечающее за оформление указанным документом факта хозяйственной жизни и (или) за формирование и передачу такой скан-копии.</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При применении электронного документа, форма которых предусматривает наличие нескольких подписей</w:t>
      </w:r>
      <w:bookmarkStart w:id="4" w:name="_Hlk120714551"/>
      <w:r>
        <w:rPr>
          <w:rFonts w:ascii="Times New Roman" w:hAnsi="Times New Roman"/>
          <w:sz w:val="26"/>
        </w:rPr>
        <w:t xml:space="preserve">, </w:t>
      </w:r>
      <w:bookmarkEnd w:id="4"/>
      <w:r>
        <w:rPr>
          <w:rFonts w:ascii="Times New Roman" w:hAnsi="Times New Roman"/>
          <w:sz w:val="26"/>
        </w:rPr>
        <w:t>принятие к учету осуществляется только при наличии на них всех подписей:</w:t>
      </w:r>
    </w:p>
    <w:p w:rsidR="005109DA" w:rsidRDefault="00000000">
      <w:pPr>
        <w:pStyle w:val="ConsPlusNormal"/>
        <w:numPr>
          <w:ilvl w:val="0"/>
          <w:numId w:val="6"/>
        </w:numPr>
        <w:spacing w:before="220" w:line="276" w:lineRule="auto"/>
        <w:contextualSpacing/>
        <w:jc w:val="both"/>
        <w:rPr>
          <w:rFonts w:ascii="Times New Roman" w:hAnsi="Times New Roman"/>
          <w:sz w:val="26"/>
        </w:rPr>
      </w:pPr>
      <w:r>
        <w:rPr>
          <w:rFonts w:ascii="Times New Roman" w:hAnsi="Times New Roman"/>
          <w:sz w:val="26"/>
        </w:rPr>
        <w:t>простой электронной подписи;</w:t>
      </w:r>
    </w:p>
    <w:p w:rsidR="005109DA" w:rsidRDefault="00000000">
      <w:pPr>
        <w:pStyle w:val="ConsPlusNormal"/>
        <w:numPr>
          <w:ilvl w:val="0"/>
          <w:numId w:val="6"/>
        </w:numPr>
        <w:spacing w:before="220" w:line="276" w:lineRule="auto"/>
        <w:contextualSpacing/>
        <w:jc w:val="both"/>
        <w:rPr>
          <w:rFonts w:ascii="Times New Roman" w:hAnsi="Times New Roman"/>
          <w:sz w:val="26"/>
        </w:rPr>
      </w:pPr>
      <w:r>
        <w:rPr>
          <w:rFonts w:ascii="Times New Roman" w:hAnsi="Times New Roman"/>
          <w:sz w:val="26"/>
        </w:rPr>
        <w:t>электронно-цифровой подписи руководителя субъекта централизованного учета и (или) главного бухгалтера.</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3.6. Порядок формирования и перечень регистров единого централизованного бухгалтерского (бюджетного) учета осуществляется централизованной бухгалтерией  по состоянию на 01 число, с периодичностью, предусмотренной в Приложении №6</w:t>
      </w:r>
      <w:r>
        <w:t xml:space="preserve"> </w:t>
      </w:r>
      <w:r>
        <w:rPr>
          <w:rFonts w:ascii="Times New Roman" w:hAnsi="Times New Roman"/>
          <w:sz w:val="26"/>
        </w:rPr>
        <w:t>единой учетной политики.</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п.32 СГС "Концептуальные основы", п.19 Инструкции № 157н)</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ind w:left="-426" w:firstLine="426"/>
        <w:contextualSpacing/>
        <w:jc w:val="center"/>
        <w:rPr>
          <w:rFonts w:ascii="Times New Roman" w:hAnsi="Times New Roman"/>
          <w:b/>
          <w:sz w:val="26"/>
        </w:rPr>
      </w:pPr>
      <w:r>
        <w:rPr>
          <w:rFonts w:ascii="Times New Roman" w:hAnsi="Times New Roman"/>
          <w:b/>
          <w:sz w:val="26"/>
        </w:rPr>
        <w:t>4. Порядок проведения инвентаризации активов, имущества и обязательств</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4.1. Организация процесса инвентаризации активов, обязательств и источников их формирования по данным бухгалтерского учета финансово-хозяйственной деятельности субъекта централизованного учета осуществляется в сроки и в порядке, установленные Положением об инвентаризации (Приложение №10</w:t>
      </w:r>
      <w:r>
        <w:t xml:space="preserve"> </w:t>
      </w:r>
      <w:r>
        <w:rPr>
          <w:rFonts w:ascii="Times New Roman" w:hAnsi="Times New Roman"/>
          <w:sz w:val="26"/>
        </w:rPr>
        <w:t>единой учетной политики) и Положением об инвентаризационной комиссии (Приложение  №11 единой учетной политики).</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Приложение 1 к СГС "Учетная политика")</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center"/>
        <w:rPr>
          <w:rFonts w:ascii="Times New Roman" w:hAnsi="Times New Roman"/>
          <w:b/>
          <w:sz w:val="26"/>
        </w:rPr>
      </w:pPr>
      <w:r>
        <w:rPr>
          <w:rFonts w:ascii="Times New Roman" w:hAnsi="Times New Roman"/>
          <w:b/>
          <w:sz w:val="26"/>
        </w:rPr>
        <w:t>5. Методика ведения бухгалтерского учета,</w:t>
      </w:r>
    </w:p>
    <w:p w:rsidR="005109DA" w:rsidRDefault="00000000">
      <w:pPr>
        <w:pStyle w:val="ConsPlusNormal"/>
        <w:spacing w:before="220" w:line="276" w:lineRule="auto"/>
        <w:ind w:left="-426" w:firstLine="426"/>
        <w:contextualSpacing/>
        <w:jc w:val="center"/>
        <w:rPr>
          <w:rFonts w:ascii="Times New Roman" w:hAnsi="Times New Roman"/>
          <w:b/>
          <w:sz w:val="26"/>
        </w:rPr>
      </w:pPr>
      <w:r>
        <w:rPr>
          <w:rFonts w:ascii="Times New Roman" w:hAnsi="Times New Roman"/>
          <w:b/>
          <w:sz w:val="26"/>
        </w:rPr>
        <w:t xml:space="preserve"> оценки отдельных видов имущества и обязательств </w:t>
      </w:r>
    </w:p>
    <w:p w:rsidR="005109DA" w:rsidRDefault="005109DA">
      <w:pPr>
        <w:pStyle w:val="ConsPlusNormal"/>
        <w:spacing w:before="220" w:line="276" w:lineRule="auto"/>
        <w:ind w:left="-426" w:firstLine="426"/>
        <w:contextualSpacing/>
        <w:jc w:val="center"/>
        <w:rPr>
          <w:rFonts w:ascii="Times New Roman" w:hAnsi="Times New Roman"/>
          <w:b/>
          <w:sz w:val="26"/>
        </w:rPr>
      </w:pPr>
    </w:p>
    <w:p w:rsidR="005109DA" w:rsidRDefault="00000000">
      <w:pPr>
        <w:pStyle w:val="ConsPlusNormal"/>
        <w:spacing w:line="276" w:lineRule="auto"/>
        <w:ind w:left="360"/>
        <w:contextualSpacing/>
        <w:jc w:val="center"/>
        <w:rPr>
          <w:rFonts w:ascii="Times New Roman" w:hAnsi="Times New Roman"/>
          <w:b/>
          <w:sz w:val="26"/>
        </w:rPr>
      </w:pPr>
      <w:r>
        <w:rPr>
          <w:rFonts w:ascii="Times New Roman" w:hAnsi="Times New Roman"/>
          <w:b/>
          <w:sz w:val="26"/>
        </w:rPr>
        <w:t>5.1. Общие положения</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5.1.1. Принятие к бухгалтерскому учету объектов нефинансовых, нематериальных, непроизведенных активов и материальных запасов производится по первоначальной стоимости,  на основании первичных документов.</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п.23 Инструкции № 157н, п. 15 "Основные средства",                               </w:t>
      </w:r>
      <w:hyperlink r:id="rId26" w:history="1">
        <w:r>
          <w:rPr>
            <w:rFonts w:ascii="Times New Roman" w:hAnsi="Times New Roman"/>
            <w:i/>
            <w:sz w:val="26"/>
          </w:rPr>
          <w:t xml:space="preserve">п. </w:t>
        </w:r>
      </w:hyperlink>
      <w:r>
        <w:rPr>
          <w:rFonts w:ascii="Times New Roman" w:hAnsi="Times New Roman"/>
          <w:i/>
          <w:sz w:val="26"/>
        </w:rPr>
        <w:t>18 СГС "Нематериальные активы", п. 13 "Запасы", п. 36 СГС "Концептуальные основы")</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5.1.2. Первоначальная стоимость объектов нефинансовых активов, </w:t>
      </w:r>
      <w:bookmarkStart w:id="5" w:name="_Hlk122082921"/>
      <w:r>
        <w:rPr>
          <w:rFonts w:ascii="Times New Roman" w:hAnsi="Times New Roman"/>
          <w:sz w:val="26"/>
        </w:rPr>
        <w:t>приобретаемых в результате необменной операции</w:t>
      </w:r>
      <w:bookmarkEnd w:id="5"/>
      <w:r>
        <w:rPr>
          <w:rFonts w:ascii="Times New Roman" w:hAnsi="Times New Roman"/>
          <w:sz w:val="26"/>
        </w:rPr>
        <w:t>, без указанной стоимости имущества определяется комиссией по поступлению и выбытию активов  (далее Комиссия) по справедливой стоимости.</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п.25 Инструкции № 157н, </w:t>
      </w:r>
      <w:hyperlink r:id="rId27" w:history="1">
        <w:r>
          <w:rPr>
            <w:rFonts w:ascii="Times New Roman" w:hAnsi="Times New Roman"/>
            <w:i/>
            <w:sz w:val="26"/>
          </w:rPr>
          <w:t>п. 9</w:t>
        </w:r>
      </w:hyperlink>
      <w:r>
        <w:rPr>
          <w:rFonts w:ascii="Times New Roman" w:hAnsi="Times New Roman"/>
          <w:i/>
          <w:sz w:val="26"/>
        </w:rPr>
        <w:t xml:space="preserve"> СГС "Учетная политика", п. 22 СГС "Основные средства", </w:t>
      </w:r>
      <w:hyperlink r:id="rId28" w:history="1">
        <w:r>
          <w:rPr>
            <w:rFonts w:ascii="Times New Roman" w:hAnsi="Times New Roman"/>
            <w:i/>
            <w:sz w:val="26"/>
          </w:rPr>
          <w:t xml:space="preserve">п. </w:t>
        </w:r>
      </w:hyperlink>
      <w:r>
        <w:rPr>
          <w:rFonts w:ascii="Times New Roman" w:hAnsi="Times New Roman"/>
          <w:i/>
          <w:sz w:val="26"/>
        </w:rPr>
        <w:t xml:space="preserve">17 СГС "Нематериальные активы", </w:t>
      </w:r>
      <w:hyperlink r:id="rId29" w:history="1">
        <w:r>
          <w:rPr>
            <w:rFonts w:ascii="Times New Roman" w:hAnsi="Times New Roman"/>
            <w:i/>
            <w:sz w:val="26"/>
          </w:rPr>
          <w:t>п. п. 52</w:t>
        </w:r>
      </w:hyperlink>
      <w:r>
        <w:rPr>
          <w:rFonts w:ascii="Times New Roman" w:hAnsi="Times New Roman"/>
          <w:i/>
          <w:sz w:val="26"/>
        </w:rPr>
        <w:t xml:space="preserve">, </w:t>
      </w:r>
      <w:hyperlink r:id="rId30" w:history="1">
        <w:r>
          <w:rPr>
            <w:rFonts w:ascii="Times New Roman" w:hAnsi="Times New Roman"/>
            <w:i/>
            <w:sz w:val="26"/>
          </w:rPr>
          <w:t>54</w:t>
        </w:r>
      </w:hyperlink>
      <w:r>
        <w:rPr>
          <w:rFonts w:ascii="Times New Roman" w:hAnsi="Times New Roman"/>
          <w:i/>
          <w:sz w:val="26"/>
        </w:rPr>
        <w:t xml:space="preserve"> СГС "Концептуальные основы", п. п. п.  11, 22, 24 СГС "Запасы", </w:t>
      </w:r>
      <w:hyperlink r:id="rId31" w:history="1">
        <w:r>
          <w:rPr>
            <w:rFonts w:ascii="Times New Roman" w:hAnsi="Times New Roman"/>
            <w:i/>
            <w:sz w:val="26"/>
          </w:rPr>
          <w:t>п. 31</w:t>
        </w:r>
      </w:hyperlink>
      <w:r>
        <w:rPr>
          <w:rFonts w:ascii="Times New Roman" w:hAnsi="Times New Roman"/>
          <w:i/>
          <w:sz w:val="26"/>
        </w:rPr>
        <w:t xml:space="preserve"> Инструкции № 157н)</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5.1.3. Первоначальной стоимостью нефинансовых активов, поступивших                            по договорам  пожертвования</w:t>
      </w:r>
      <w:r>
        <w:t xml:space="preserve"> </w:t>
      </w:r>
      <w:r>
        <w:rPr>
          <w:rFonts w:ascii="Times New Roman" w:hAnsi="Times New Roman"/>
          <w:sz w:val="26"/>
        </w:rPr>
        <w:t>без указанной стоимости имущества, признается их справедливая стоимость на дату принятия к бухгалтерскому учету.</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5.1.4. 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бухгалтерскому учету</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5.1.5. Основным методом определения справедливой стоимости для различных видов активов и обязательств является метод рыночных цен.</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sz w:val="26"/>
        </w:rPr>
        <w:t xml:space="preserve"> </w:t>
      </w:r>
      <w:r>
        <w:rPr>
          <w:rFonts w:ascii="Times New Roman" w:hAnsi="Times New Roman"/>
          <w:i/>
          <w:sz w:val="26"/>
        </w:rPr>
        <w:t>(Основание:</w:t>
      </w:r>
      <w:r>
        <w:t xml:space="preserve"> </w:t>
      </w:r>
      <w:r>
        <w:rPr>
          <w:rFonts w:ascii="Times New Roman" w:hAnsi="Times New Roman"/>
          <w:i/>
          <w:sz w:val="26"/>
        </w:rPr>
        <w:t>п.п.п.54,55,59 СГС "Концептуальные основы")</w:t>
      </w:r>
    </w:p>
    <w:p w:rsidR="005109DA" w:rsidRDefault="005109DA">
      <w:pPr>
        <w:pStyle w:val="ConsPlusNormal"/>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5.1.6. Первоначальной стоимостью лизингового имущества субъекта централизованного учета  является выкупная стоимость. </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письмо МФ РФ от 06.11.2018 №03-03-06/2/79754)</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5.1.7. Принятие к учету сайта осуществляется по первоначальной стоимости на основании документов, подтверждающих его разработку (например, актов выполненных работ, актов приемки выполненных работ).</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В случае отсутствия первичных документов принятие к учету осуществляется по справедливой стоимости, используя алгоритм расчета https://be1.ru/site-cost/.</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 (</w:t>
      </w:r>
      <w:r>
        <w:rPr>
          <w:rFonts w:ascii="Times New Roman" w:hAnsi="Times New Roman"/>
          <w:i/>
          <w:sz w:val="26"/>
        </w:rPr>
        <w:t>Основание: п. 10 Федерального стандарта № 181н, Письма Минфина России от 27.08.2021 № 02-07-10/69344, от 10.07.2014 № 02-06-10/33751)</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5.1.8. Доходы, причитающиеся к получению при выбытии объектов нефинансовых активов, подлежат первоначальному признанию по справедливой стоимости. </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 47 СГС "Основные средства")</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sz w:val="26"/>
        </w:rPr>
        <w:t xml:space="preserve">5.1.9.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по решению Комиссии.  </w:t>
      </w:r>
      <w:r>
        <w:rPr>
          <w:rFonts w:ascii="Times New Roman" w:hAnsi="Times New Roman"/>
          <w:i/>
          <w:sz w:val="26"/>
        </w:rPr>
        <w:t xml:space="preserve">(Основание: </w:t>
      </w:r>
      <w:hyperlink r:id="rId32" w:history="1">
        <w:r>
          <w:rPr>
            <w:rFonts w:ascii="Times New Roman" w:hAnsi="Times New Roman"/>
            <w:i/>
            <w:sz w:val="26"/>
          </w:rPr>
          <w:t>п. п. 52</w:t>
        </w:r>
      </w:hyperlink>
      <w:r>
        <w:rPr>
          <w:rFonts w:ascii="Times New Roman" w:hAnsi="Times New Roman"/>
          <w:i/>
          <w:sz w:val="26"/>
        </w:rPr>
        <w:t xml:space="preserve">, </w:t>
      </w:r>
      <w:hyperlink r:id="rId33" w:history="1">
        <w:r>
          <w:rPr>
            <w:rFonts w:ascii="Times New Roman" w:hAnsi="Times New Roman"/>
            <w:i/>
            <w:sz w:val="26"/>
          </w:rPr>
          <w:t>54</w:t>
        </w:r>
      </w:hyperlink>
      <w:r>
        <w:rPr>
          <w:rFonts w:ascii="Times New Roman" w:hAnsi="Times New Roman"/>
          <w:i/>
          <w:sz w:val="26"/>
        </w:rPr>
        <w:t xml:space="preserve"> СГС "Концептуальные основы", </w:t>
      </w:r>
      <w:hyperlink r:id="rId34" w:history="1">
        <w:r>
          <w:rPr>
            <w:rFonts w:ascii="Times New Roman" w:hAnsi="Times New Roman"/>
            <w:i/>
            <w:sz w:val="26"/>
          </w:rPr>
          <w:t>п. 106</w:t>
        </w:r>
      </w:hyperlink>
      <w:r>
        <w:rPr>
          <w:rFonts w:ascii="Times New Roman" w:hAnsi="Times New Roman"/>
          <w:i/>
          <w:sz w:val="26"/>
        </w:rPr>
        <w:t xml:space="preserve"> Инструкции  № 157н)</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5.1.10. При выбытии материальных запасов, используемых субъектом централизованного учета в особом порядке (драгоценные металлы: серебро и т.п.), их стоимость оценивается по стоимости каждой единицы таких запасов.</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п. 43 СГС "Запасы")</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5.1.11. Объекты учета аренды, возникающие в рамках договоров безвозмездного пользования или в рамках договоров аренды, отражаются по стоимости, определяемой передающей стороной (арендодателем) на дату аренды.</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В случае отсутствия сведений о стоимости актива он отражается в учете по условной оценке, равной одному рублю.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После того как данные о стоимости передаваемого (получаемого) объекта станут доступны, его балансовая стоимость подлежит пересмотру.</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35" w:history="1">
        <w:r>
          <w:rPr>
            <w:rFonts w:ascii="Times New Roman" w:hAnsi="Times New Roman"/>
            <w:i/>
            <w:sz w:val="26"/>
          </w:rPr>
          <w:t>п.26</w:t>
        </w:r>
      </w:hyperlink>
      <w:r>
        <w:rPr>
          <w:rFonts w:ascii="Times New Roman" w:hAnsi="Times New Roman"/>
          <w:i/>
          <w:sz w:val="26"/>
        </w:rPr>
        <w:t xml:space="preserve"> СГС "Аренда")</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5.1.12. Скомплектованный объект нефинансовых активов принимается к учету по стоимости, сформированной при комплектовании, по приходному ордеру на приемку материальных ценностей (нефинансовых активов) (ф. 0504207).</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 п. 6, 34 Инструкции № 157н, п. п. "г" п. 9</w:t>
      </w:r>
      <w:r>
        <w:rPr>
          <w:i/>
        </w:rPr>
        <w:t xml:space="preserve"> </w:t>
      </w:r>
      <w:r>
        <w:rPr>
          <w:rFonts w:ascii="Times New Roman" w:hAnsi="Times New Roman"/>
          <w:i/>
          <w:sz w:val="26"/>
        </w:rPr>
        <w:t>СГС "Учетная политика")</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5.1.13. Стоимость нефинансового актива изменяется в случае проведения переоценки проводимой по решению Правительства РФ и отражения ее результатов в учете.</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36" w:history="1">
        <w:r>
          <w:rPr>
            <w:rFonts w:ascii="Times New Roman" w:hAnsi="Times New Roman"/>
            <w:i/>
            <w:sz w:val="26"/>
          </w:rPr>
          <w:t>п. 28</w:t>
        </w:r>
      </w:hyperlink>
      <w:r>
        <w:rPr>
          <w:rFonts w:ascii="Times New Roman" w:hAnsi="Times New Roman"/>
          <w:i/>
          <w:sz w:val="26"/>
        </w:rPr>
        <w:t xml:space="preserve"> Инструкции № 157н, </w:t>
      </w:r>
      <w:r>
        <w:t xml:space="preserve"> </w:t>
      </w:r>
      <w:hyperlink r:id="rId37" w:history="1">
        <w:r>
          <w:rPr>
            <w:rFonts w:ascii="Times New Roman" w:hAnsi="Times New Roman"/>
            <w:i/>
            <w:sz w:val="26"/>
          </w:rPr>
          <w:t>п. 19</w:t>
        </w:r>
      </w:hyperlink>
      <w:r>
        <w:rPr>
          <w:rFonts w:ascii="Times New Roman" w:hAnsi="Times New Roman"/>
          <w:i/>
          <w:sz w:val="26"/>
        </w:rPr>
        <w:t xml:space="preserve"> СГС "Основные средства")</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5.1.14. При изменении кадастровой стоимости в учете отражается изменение стоимости земельного участка - объекта непроизведенных активов.</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п.71 Инструкции № 157н, п.20 Инструкции № 174н)</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5.1.15</w:t>
      </w:r>
      <w:r>
        <w:rPr>
          <w:rFonts w:ascii="Times New Roman" w:hAnsi="Times New Roman"/>
          <w:i/>
          <w:sz w:val="26"/>
        </w:rPr>
        <w:t xml:space="preserve">. </w:t>
      </w:r>
      <w:r>
        <w:rPr>
          <w:rFonts w:ascii="Times New Roman" w:hAnsi="Times New Roman"/>
          <w:sz w:val="26"/>
        </w:rPr>
        <w:t>В случае, если для показателя, необходимого для ведения бухгалтерского учета, не установлен метод оценки в законодательстве и в единой учетной политике, то величина оценочного показателя определяется профессиональным суждением бухгалтера, согласно Приложению №17 единой учетной политики.</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п.6 СГС  "Учетная политика, оценочные значения и ошибки")</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5.1.16</w:t>
      </w:r>
      <w:r>
        <w:rPr>
          <w:rFonts w:ascii="Times New Roman" w:hAnsi="Times New Roman"/>
          <w:i/>
          <w:sz w:val="26"/>
        </w:rPr>
        <w:t xml:space="preserve">. </w:t>
      </w:r>
      <w:r>
        <w:rPr>
          <w:rFonts w:ascii="Times New Roman" w:hAnsi="Times New Roman"/>
          <w:sz w:val="26"/>
        </w:rPr>
        <w:t xml:space="preserve">Принятие к учету основных средств,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нефинансовых активов (ф. 0510441). </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приказ Минфина России от 15.04.2021 №61н)</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5.1.17. Поступление нефинансовых активов, приобретаемых в результате необменной операции, Комиссия оформляет следующими первичными документами:</w:t>
      </w:r>
    </w:p>
    <w:p w:rsidR="005109DA" w:rsidRDefault="00000000">
      <w:pPr>
        <w:pStyle w:val="ConsPlusNormal"/>
        <w:numPr>
          <w:ilvl w:val="0"/>
          <w:numId w:val="7"/>
        </w:numPr>
        <w:spacing w:before="220" w:line="276" w:lineRule="auto"/>
        <w:contextualSpacing/>
        <w:jc w:val="both"/>
        <w:rPr>
          <w:rFonts w:ascii="Times New Roman" w:hAnsi="Times New Roman"/>
          <w:sz w:val="26"/>
        </w:rPr>
      </w:pPr>
      <w:r>
        <w:rPr>
          <w:rFonts w:ascii="Times New Roman" w:hAnsi="Times New Roman"/>
          <w:sz w:val="26"/>
        </w:rPr>
        <w:t xml:space="preserve">акт о приеме-передаче объектов нефинансовых активов </w:t>
      </w:r>
      <w:hyperlink r:id="rId38" w:history="1">
        <w:r>
          <w:rPr>
            <w:rFonts w:ascii="Times New Roman" w:hAnsi="Times New Roman"/>
            <w:sz w:val="26"/>
          </w:rPr>
          <w:t>(ф. 0510448)</w:t>
        </w:r>
      </w:hyperlink>
      <w:r>
        <w:rPr>
          <w:rFonts w:ascii="Times New Roman" w:hAnsi="Times New Roman"/>
          <w:sz w:val="26"/>
        </w:rPr>
        <w:t>;</w:t>
      </w:r>
    </w:p>
    <w:p w:rsidR="005109DA" w:rsidRDefault="00000000">
      <w:pPr>
        <w:pStyle w:val="ConsPlusNormal"/>
        <w:numPr>
          <w:ilvl w:val="0"/>
          <w:numId w:val="7"/>
        </w:numPr>
        <w:spacing w:before="220" w:line="276" w:lineRule="auto"/>
        <w:contextualSpacing/>
        <w:jc w:val="both"/>
        <w:rPr>
          <w:rFonts w:ascii="Times New Roman" w:hAnsi="Times New Roman"/>
          <w:sz w:val="26"/>
        </w:rPr>
      </w:pPr>
      <w:r>
        <w:rPr>
          <w:rFonts w:ascii="Times New Roman" w:hAnsi="Times New Roman"/>
          <w:sz w:val="26"/>
        </w:rPr>
        <w:t xml:space="preserve">акт приемки товаров, работ, услуг </w:t>
      </w:r>
      <w:hyperlink r:id="rId39" w:history="1">
        <w:r>
          <w:rPr>
            <w:rFonts w:ascii="Times New Roman" w:hAnsi="Times New Roman"/>
            <w:sz w:val="26"/>
          </w:rPr>
          <w:t>(ф. 0510452)</w:t>
        </w:r>
      </w:hyperlink>
      <w:r>
        <w:rPr>
          <w:rFonts w:ascii="Times New Roman" w:hAnsi="Times New Roman"/>
          <w:sz w:val="26"/>
        </w:rPr>
        <w:t>.</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5.1.18. Организация работы по принятию к учету и выбытию нефинансовых активов осуществляется созданной на постоянной основе комиссией по поступлению     и выбытию активов субъекта централизованного учета, действующей в соответствии                с положением, приведенным в Приложении №4 единой учетной политики.</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after="240" w:line="276" w:lineRule="auto"/>
        <w:ind w:left="360"/>
        <w:contextualSpacing/>
        <w:jc w:val="center"/>
        <w:rPr>
          <w:rFonts w:ascii="Times New Roman" w:hAnsi="Times New Roman"/>
          <w:b/>
          <w:sz w:val="26"/>
        </w:rPr>
      </w:pPr>
      <w:r>
        <w:rPr>
          <w:rFonts w:ascii="Times New Roman" w:hAnsi="Times New Roman"/>
          <w:b/>
          <w:sz w:val="26"/>
        </w:rPr>
        <w:t>5.2. Основные средства</w:t>
      </w:r>
    </w:p>
    <w:p w:rsidR="005109DA" w:rsidRDefault="005109DA">
      <w:pPr>
        <w:pStyle w:val="ConsPlusNormal"/>
        <w:spacing w:before="220" w:after="240" w:line="276" w:lineRule="auto"/>
        <w:ind w:left="720"/>
        <w:contextualSpacing/>
        <w:rPr>
          <w:rFonts w:ascii="Times New Roman" w:hAnsi="Times New Roman"/>
          <w:b/>
          <w:sz w:val="26"/>
        </w:rPr>
      </w:pPr>
    </w:p>
    <w:p w:rsidR="005109DA" w:rsidRDefault="00000000">
      <w:pPr>
        <w:pStyle w:val="ConsPlusNormal"/>
        <w:numPr>
          <w:ilvl w:val="2"/>
          <w:numId w:val="8"/>
        </w:numPr>
        <w:spacing w:before="220" w:after="240" w:line="276" w:lineRule="auto"/>
        <w:ind w:left="-426" w:firstLine="284"/>
        <w:contextualSpacing/>
        <w:jc w:val="both"/>
        <w:rPr>
          <w:rFonts w:ascii="Times New Roman" w:hAnsi="Times New Roman"/>
          <w:sz w:val="26"/>
        </w:rPr>
      </w:pPr>
      <w:r>
        <w:rPr>
          <w:rFonts w:ascii="Times New Roman" w:hAnsi="Times New Roman"/>
          <w:sz w:val="26"/>
        </w:rPr>
        <w:t>В составе основных средств учитываются объекты основных средств независимо от их стоимости, сроком полезного использования более 12 месяцев.</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Перечень нефинансовых активов, включаемый в состав основных средств                      и материальных запасов, приведен в Приложении №7 единой учетной политики.</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 45 Инструкции № 157н)</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142"/>
        <w:contextualSpacing/>
        <w:jc w:val="both"/>
        <w:rPr>
          <w:rFonts w:ascii="Times New Roman" w:hAnsi="Times New Roman"/>
          <w:sz w:val="26"/>
        </w:rPr>
      </w:pPr>
      <w:r>
        <w:rPr>
          <w:rFonts w:ascii="Times New Roman" w:hAnsi="Times New Roman"/>
          <w:sz w:val="26"/>
        </w:rPr>
        <w:t xml:space="preserve">5.2.2. Единой системой признается объект имущества, представляющий собой единое целое и предназначенный для выполнения определенной работы: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система охранно-тревожной сигнализации;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система пожарной сигнализации;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система контроля и управления доступом;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система оповещения и управление эвакуацией;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система видеонаблюдения;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система телефонизации и интернет.</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При признании объектов основных средств как система в инвентарных карточках учета нефинансовых активов (ф. 0509215), открытых в отношении зданий и сооружений, дополнительно отражаются сведения о наличии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системами.</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Необходимость объединения и конкретный перечень объединяемых объектов определяет Комиссия субъекта централизованного учета.</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п. 45 Инструкции № 157н,</w:t>
      </w:r>
      <w:r>
        <w:t xml:space="preserve"> </w:t>
      </w:r>
      <w:r>
        <w:rPr>
          <w:rFonts w:ascii="Times New Roman" w:hAnsi="Times New Roman"/>
          <w:i/>
          <w:sz w:val="26"/>
        </w:rPr>
        <w:t>п. 9 СГС "Учетная политика",  п. 10 СГС "Основные средства")</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5.2.3. </w:t>
      </w:r>
      <w:r>
        <w:rPr>
          <w:rFonts w:ascii="Times New Roman" w:hAnsi="Times New Roman"/>
          <w:color w:val="FF0000"/>
          <w:sz w:val="26"/>
        </w:rPr>
        <w:t xml:space="preserve"> </w:t>
      </w:r>
      <w:r>
        <w:rPr>
          <w:rFonts w:ascii="Times New Roman" w:hAnsi="Times New Roman"/>
          <w:sz w:val="26"/>
        </w:rPr>
        <w:t>Асфальтовое покрытие принимается в состав основных средств и отражается    в составе сооружений как недвижимое имущество, только в случае государственной регистрации права оперативного управления.</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Асфальтовое покрытие, представляющее собой элемент благоустройства прилегающей к зданию территории, улучшающее полезные свойства земельного участка,  к объектам недвижимого имущества не относится. </w:t>
      </w:r>
    </w:p>
    <w:p w:rsidR="005109DA" w:rsidRDefault="00000000">
      <w:pPr>
        <w:pStyle w:val="ConsPlusNormal"/>
        <w:ind w:left="-426" w:firstLine="426"/>
        <w:contextualSpacing/>
        <w:jc w:val="both"/>
        <w:rPr>
          <w:rFonts w:ascii="Times New Roman" w:hAnsi="Times New Roman"/>
          <w:i/>
          <w:sz w:val="26"/>
        </w:rPr>
      </w:pPr>
      <w:r>
        <w:rPr>
          <w:rFonts w:ascii="Times New Roman" w:hAnsi="Times New Roman"/>
          <w:i/>
          <w:sz w:val="26"/>
        </w:rPr>
        <w:t>(Основание: п. 153 Инструкции № 157н)</w:t>
      </w:r>
    </w:p>
    <w:p w:rsidR="005109DA" w:rsidRDefault="005109DA">
      <w:pPr>
        <w:pStyle w:val="ConsPlusNormal"/>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5.2.4. Учет предметов библиотечного фонда ведется исходя из следующих особенностей:</w:t>
      </w:r>
    </w:p>
    <w:p w:rsidR="005109DA" w:rsidRDefault="00000000">
      <w:pPr>
        <w:pStyle w:val="ConsPlusNormal"/>
        <w:numPr>
          <w:ilvl w:val="0"/>
          <w:numId w:val="9"/>
        </w:numPr>
        <w:spacing w:before="220" w:line="276" w:lineRule="auto"/>
        <w:contextualSpacing/>
        <w:jc w:val="both"/>
        <w:rPr>
          <w:rFonts w:ascii="Times New Roman" w:hAnsi="Times New Roman"/>
          <w:sz w:val="26"/>
        </w:rPr>
      </w:pPr>
      <w:r>
        <w:rPr>
          <w:rFonts w:ascii="Times New Roman" w:hAnsi="Times New Roman"/>
          <w:sz w:val="26"/>
        </w:rPr>
        <w:t>регистрационные знаки и номера проставляются в рамках внутрибиблиотечного учета (в регистрационных карточках, книгах);</w:t>
      </w:r>
    </w:p>
    <w:p w:rsidR="005109DA" w:rsidRDefault="00000000">
      <w:pPr>
        <w:pStyle w:val="ConsPlusNormal"/>
        <w:numPr>
          <w:ilvl w:val="0"/>
          <w:numId w:val="9"/>
        </w:numPr>
        <w:spacing w:before="220" w:line="276" w:lineRule="auto"/>
        <w:contextualSpacing/>
        <w:jc w:val="both"/>
        <w:rPr>
          <w:rFonts w:ascii="Times New Roman" w:hAnsi="Times New Roman"/>
          <w:sz w:val="26"/>
        </w:rPr>
      </w:pPr>
      <w:r>
        <w:rPr>
          <w:rFonts w:ascii="Times New Roman" w:hAnsi="Times New Roman"/>
          <w:sz w:val="26"/>
        </w:rPr>
        <w:t xml:space="preserve">предметы библиотечного фонда, срок полезного использования которых одинаков объединяются в один инвентарный объект - комплекс объектов основных средств; </w:t>
      </w:r>
    </w:p>
    <w:p w:rsidR="005109DA" w:rsidRDefault="00000000">
      <w:pPr>
        <w:pStyle w:val="ConsPlusNormal"/>
        <w:numPr>
          <w:ilvl w:val="0"/>
          <w:numId w:val="9"/>
        </w:numPr>
        <w:spacing w:before="220" w:line="276" w:lineRule="auto"/>
        <w:contextualSpacing/>
        <w:jc w:val="both"/>
        <w:rPr>
          <w:rFonts w:ascii="Times New Roman" w:hAnsi="Times New Roman"/>
          <w:sz w:val="26"/>
        </w:rPr>
      </w:pPr>
      <w:r>
        <w:rPr>
          <w:rFonts w:ascii="Times New Roman" w:hAnsi="Times New Roman"/>
          <w:sz w:val="26"/>
        </w:rPr>
        <w:t>в инвентарной карточке группового учета нефинансовых активов                            (ф. 0509216) стоимость библиотечного фонда отражается общей суммой.     Для аналитического учета объектов библиотечного фонда открывается одна инвентарная карточка.  Учет в ней ведется только в денежном выражении общей суммой;</w:t>
      </w:r>
    </w:p>
    <w:p w:rsidR="005109DA" w:rsidRDefault="00000000">
      <w:pPr>
        <w:pStyle w:val="ConsPlusNormal"/>
        <w:numPr>
          <w:ilvl w:val="0"/>
          <w:numId w:val="9"/>
        </w:numPr>
        <w:spacing w:before="220" w:line="276" w:lineRule="auto"/>
        <w:contextualSpacing/>
        <w:jc w:val="both"/>
        <w:rPr>
          <w:rFonts w:ascii="Times New Roman" w:hAnsi="Times New Roman"/>
          <w:sz w:val="26"/>
        </w:rPr>
      </w:pPr>
      <w:r>
        <w:rPr>
          <w:rFonts w:ascii="Times New Roman" w:hAnsi="Times New Roman"/>
          <w:sz w:val="26"/>
        </w:rPr>
        <w:t>инвентарные списки по объектам библиотечного фонда не ведутся;</w:t>
      </w:r>
    </w:p>
    <w:p w:rsidR="005109DA" w:rsidRDefault="00000000">
      <w:pPr>
        <w:pStyle w:val="ConsPlusNormal"/>
        <w:numPr>
          <w:ilvl w:val="0"/>
          <w:numId w:val="9"/>
        </w:numPr>
        <w:spacing w:before="220" w:line="276" w:lineRule="auto"/>
        <w:contextualSpacing/>
        <w:jc w:val="both"/>
        <w:rPr>
          <w:rFonts w:ascii="Times New Roman" w:hAnsi="Times New Roman"/>
          <w:sz w:val="26"/>
        </w:rPr>
      </w:pPr>
      <w:r>
        <w:rPr>
          <w:rFonts w:ascii="Times New Roman" w:hAnsi="Times New Roman"/>
          <w:sz w:val="26"/>
        </w:rPr>
        <w:t>предметы библиотечного фонда стоимостью 10 000 руб. включительно после ввода в эксплуатацию остаются на балансе учреждения и не подлежат списанию на забалансовый учет.</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Внутрибиблиотечный учет документов, входящих в состав библиотечных фондов, осуществляется ответственным лицом субъекта централизованного учета.</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 xml:space="preserve"> (Основание: п. 9, п. 10 СГС "Основные средства" п. 46, п. 54 Инструкции №157н,</w:t>
      </w:r>
      <w:r>
        <w:rPr>
          <w:rFonts w:ascii="Times New Roman" w:hAnsi="Times New Roman"/>
          <w:sz w:val="26"/>
        </w:rPr>
        <w:t xml:space="preserve"> </w:t>
      </w:r>
      <w:r>
        <w:rPr>
          <w:rFonts w:ascii="Times New Roman" w:hAnsi="Times New Roman"/>
          <w:i/>
          <w:sz w:val="26"/>
        </w:rPr>
        <w:t>Приказ Минкультуры России от 08.10.2012 №1077)</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spacing w:before="220" w:after="240" w:line="276" w:lineRule="auto"/>
        <w:contextualSpacing/>
        <w:jc w:val="both"/>
        <w:rPr>
          <w:rFonts w:ascii="Times New Roman" w:hAnsi="Times New Roman"/>
          <w:sz w:val="26"/>
        </w:rPr>
      </w:pPr>
      <w:r>
        <w:rPr>
          <w:rFonts w:ascii="Times New Roman" w:hAnsi="Times New Roman"/>
          <w:sz w:val="26"/>
        </w:rPr>
        <w:t>5.2.5. Единицей учета основных средств признается инвентарный объект.</w:t>
      </w:r>
    </w:p>
    <w:p w:rsidR="005109DA" w:rsidRDefault="005109DA">
      <w:pPr>
        <w:pStyle w:val="ConsPlusNormal"/>
        <w:spacing w:before="220" w:line="276" w:lineRule="auto"/>
        <w:contextualSpacing/>
        <w:jc w:val="center"/>
        <w:rPr>
          <w:rFonts w:ascii="Times New Roman" w:hAnsi="Times New Roman"/>
          <w:b/>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5.2.6. Каждому инвентарному объекту основных средств в момент принятия                               к бухгалтерскому учету присваивается инвентарный номер, который состоит                              из 13 знаков:</w:t>
      </w: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1-й знак - код вида финансового обеспечения;</w:t>
      </w: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2 - 6-й знаки - код счета бюджетного учета;</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7 - 13-й знаки - порядковый номер объекта.</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Инвентарный номер, присвоенный объекту основных средств, сохраняется за ним                  на весь период его нахождения в учреждении.</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5109DA" w:rsidRDefault="00000000">
      <w:pPr>
        <w:widowControl w:val="0"/>
        <w:spacing w:before="220" w:after="0"/>
        <w:ind w:left="-426" w:firstLine="426"/>
        <w:contextualSpacing/>
        <w:jc w:val="both"/>
        <w:rPr>
          <w:rFonts w:ascii="Times New Roman" w:hAnsi="Times New Roman"/>
          <w:i/>
          <w:sz w:val="26"/>
        </w:rPr>
      </w:pPr>
      <w:r>
        <w:rPr>
          <w:rFonts w:ascii="Times New Roman" w:hAnsi="Times New Roman"/>
          <w:i/>
          <w:sz w:val="26"/>
        </w:rPr>
        <w:t>(Основание: п. 9 СГС "Основные средства", п. 46 Инструкции № 157н)</w:t>
      </w:r>
    </w:p>
    <w:p w:rsidR="005109DA" w:rsidRDefault="005109DA">
      <w:pPr>
        <w:widowControl w:val="0"/>
        <w:spacing w:before="220" w:after="0"/>
        <w:ind w:left="-426" w:firstLine="426"/>
        <w:contextualSpacing/>
        <w:jc w:val="both"/>
        <w:rPr>
          <w:rFonts w:ascii="Times New Roman" w:hAnsi="Times New Roman"/>
          <w:i/>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5.2.7. Инвентарный номер наносится:</w:t>
      </w:r>
    </w:p>
    <w:p w:rsidR="005109DA" w:rsidRDefault="00000000">
      <w:pPr>
        <w:widowControl w:val="0"/>
        <w:numPr>
          <w:ilvl w:val="0"/>
          <w:numId w:val="10"/>
        </w:numPr>
        <w:spacing w:before="220" w:after="0"/>
        <w:contextualSpacing/>
        <w:jc w:val="both"/>
        <w:rPr>
          <w:rFonts w:ascii="Times New Roman" w:hAnsi="Times New Roman"/>
          <w:sz w:val="26"/>
        </w:rPr>
      </w:pPr>
      <w:r>
        <w:rPr>
          <w:rFonts w:ascii="Times New Roman" w:hAnsi="Times New Roman"/>
          <w:sz w:val="26"/>
        </w:rPr>
        <w:t>на объекты недвижимого имущества (здания, сооружения) – несмываемой краской;</w:t>
      </w:r>
    </w:p>
    <w:p w:rsidR="005109DA" w:rsidRDefault="00000000">
      <w:pPr>
        <w:widowControl w:val="0"/>
        <w:numPr>
          <w:ilvl w:val="0"/>
          <w:numId w:val="10"/>
        </w:numPr>
        <w:spacing w:before="220" w:after="0"/>
        <w:contextualSpacing/>
        <w:jc w:val="both"/>
        <w:rPr>
          <w:rFonts w:ascii="Times New Roman" w:hAnsi="Times New Roman"/>
          <w:sz w:val="26"/>
        </w:rPr>
      </w:pPr>
      <w:r>
        <w:rPr>
          <w:rFonts w:ascii="Times New Roman" w:hAnsi="Times New Roman"/>
          <w:sz w:val="26"/>
        </w:rPr>
        <w:t>на объекты движимого имущества - на бумажной наклейке или путем нанесения на объект учета краской или иным способом, обеспечивающим сохранность маркировки.</w:t>
      </w:r>
    </w:p>
    <w:p w:rsidR="005109DA" w:rsidRDefault="00000000">
      <w:pPr>
        <w:widowControl w:val="0"/>
        <w:numPr>
          <w:ilvl w:val="0"/>
          <w:numId w:val="10"/>
        </w:numPr>
        <w:spacing w:before="220" w:after="0"/>
        <w:contextualSpacing/>
        <w:jc w:val="both"/>
        <w:rPr>
          <w:rFonts w:ascii="Times New Roman" w:hAnsi="Times New Roman"/>
          <w:sz w:val="26"/>
        </w:rPr>
      </w:pPr>
      <w:r>
        <w:rPr>
          <w:rFonts w:ascii="Times New Roman" w:hAnsi="Times New Roman"/>
          <w:sz w:val="26"/>
        </w:rPr>
        <w:t xml:space="preserve">при невозможности обозначения инвентарного номера на объектах основных средств и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 (инженерные сети, бортовые камни, многолетние насаждения, малые архитектурные формы и др.).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Присвоенный объекту инвентарный номер наносится лицом, ответственным                      за сохранность или использование по назначению объекта имущества.</w:t>
      </w:r>
    </w:p>
    <w:p w:rsidR="005109DA" w:rsidRDefault="00000000">
      <w:pPr>
        <w:widowControl w:val="0"/>
        <w:spacing w:before="220" w:after="0" w:line="240" w:lineRule="auto"/>
        <w:ind w:left="-426" w:firstLine="426"/>
        <w:contextualSpacing/>
        <w:jc w:val="both"/>
        <w:rPr>
          <w:rFonts w:ascii="Times New Roman" w:hAnsi="Times New Roman"/>
          <w:i/>
          <w:sz w:val="26"/>
        </w:rPr>
      </w:pPr>
      <w:r>
        <w:rPr>
          <w:rFonts w:ascii="Times New Roman" w:hAnsi="Times New Roman"/>
          <w:i/>
          <w:sz w:val="26"/>
        </w:rPr>
        <w:t xml:space="preserve">(Основание: п. 9 СГС "Основные средства", </w:t>
      </w:r>
      <w:hyperlink r:id="rId40" w:history="1">
        <w:r>
          <w:rPr>
            <w:rFonts w:ascii="Times New Roman" w:hAnsi="Times New Roman"/>
            <w:i/>
            <w:sz w:val="26"/>
          </w:rPr>
          <w:t>п. 46</w:t>
        </w:r>
      </w:hyperlink>
      <w:r>
        <w:rPr>
          <w:rFonts w:ascii="Times New Roman" w:hAnsi="Times New Roman"/>
          <w:i/>
          <w:sz w:val="26"/>
        </w:rPr>
        <w:t xml:space="preserve"> Инструкции № 157н)</w:t>
      </w:r>
    </w:p>
    <w:p w:rsidR="005109DA" w:rsidRDefault="005109DA">
      <w:pPr>
        <w:widowControl w:val="0"/>
        <w:spacing w:before="220" w:after="0"/>
        <w:ind w:left="-426" w:firstLine="426"/>
        <w:contextualSpacing/>
        <w:jc w:val="both"/>
        <w:rPr>
          <w:rFonts w:ascii="Times New Roman" w:hAnsi="Times New Roman"/>
          <w:i/>
          <w:sz w:val="26"/>
        </w:rPr>
      </w:pPr>
    </w:p>
    <w:p w:rsidR="005109DA" w:rsidRDefault="00000000">
      <w:pPr>
        <w:widowControl w:val="0"/>
        <w:spacing w:before="220" w:after="0"/>
        <w:contextualSpacing/>
        <w:jc w:val="both"/>
        <w:rPr>
          <w:rFonts w:ascii="Times New Roman" w:hAnsi="Times New Roman"/>
          <w:sz w:val="26"/>
        </w:rPr>
      </w:pPr>
      <w:r>
        <w:rPr>
          <w:rFonts w:ascii="Times New Roman" w:hAnsi="Times New Roman"/>
          <w:sz w:val="26"/>
        </w:rPr>
        <w:t>5.2.8. Инвентарные номера объектам библиотечного фонда не присваиваются.</w:t>
      </w:r>
    </w:p>
    <w:p w:rsidR="005109DA" w:rsidRDefault="005109DA">
      <w:pPr>
        <w:widowControl w:val="0"/>
        <w:spacing w:before="220" w:after="0"/>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i/>
          <w:sz w:val="26"/>
        </w:rPr>
      </w:pPr>
      <w:r>
        <w:rPr>
          <w:rFonts w:ascii="Times New Roman" w:hAnsi="Times New Roman"/>
          <w:i/>
          <w:sz w:val="26"/>
        </w:rPr>
        <w:t>(Основание: п. 9 СГС "Основные средства", п. 46 Инструкции № 157н)</w:t>
      </w:r>
    </w:p>
    <w:p w:rsidR="005109DA" w:rsidRDefault="005109DA">
      <w:pPr>
        <w:pStyle w:val="ConsPlusNormal"/>
        <w:spacing w:line="276" w:lineRule="auto"/>
        <w:ind w:left="-426" w:firstLine="426"/>
        <w:contextualSpacing/>
        <w:jc w:val="both"/>
        <w:rPr>
          <w:rFonts w:ascii="Times New Roman" w:hAnsi="Times New Roman"/>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5.2.9. Срок полезного использования объекта основных средств определяется Комиссией субъекта централизованного учета:</w:t>
      </w:r>
    </w:p>
    <w:p w:rsidR="005109DA" w:rsidRDefault="00000000">
      <w:pPr>
        <w:pStyle w:val="ConsPlusNormal"/>
        <w:numPr>
          <w:ilvl w:val="0"/>
          <w:numId w:val="11"/>
        </w:numPr>
        <w:spacing w:line="276" w:lineRule="auto"/>
        <w:contextualSpacing/>
        <w:jc w:val="both"/>
        <w:rPr>
          <w:rFonts w:ascii="Times New Roman" w:hAnsi="Times New Roman"/>
          <w:sz w:val="26"/>
        </w:rPr>
      </w:pPr>
      <w:r>
        <w:rPr>
          <w:rFonts w:ascii="Times New Roman" w:hAnsi="Times New Roman"/>
          <w:sz w:val="26"/>
        </w:rPr>
        <w:t>исходя из ожидаемого срока получения экономических выгод и (или) полезного потенциала, заключенного в активе;</w:t>
      </w:r>
    </w:p>
    <w:p w:rsidR="005109DA" w:rsidRDefault="00000000">
      <w:pPr>
        <w:pStyle w:val="ConsPlusNormal"/>
        <w:numPr>
          <w:ilvl w:val="0"/>
          <w:numId w:val="11"/>
        </w:numPr>
        <w:spacing w:line="276" w:lineRule="auto"/>
        <w:contextualSpacing/>
        <w:jc w:val="both"/>
        <w:rPr>
          <w:rFonts w:ascii="Times New Roman" w:hAnsi="Times New Roman"/>
          <w:sz w:val="26"/>
        </w:rPr>
      </w:pPr>
      <w:r>
        <w:rPr>
          <w:rFonts w:ascii="Times New Roman" w:hAnsi="Times New Roman"/>
          <w:sz w:val="26"/>
        </w:rPr>
        <w:t>по объектам</w:t>
      </w:r>
      <w:r>
        <w:t xml:space="preserve"> </w:t>
      </w:r>
      <w:r>
        <w:rPr>
          <w:rFonts w:ascii="Times New Roman" w:hAnsi="Times New Roman"/>
          <w:sz w:val="26"/>
        </w:rPr>
        <w:t>основных средств, включенных в  амортизационные группы                   с первой по девятую, срок полезного использования определяется по наибольшему сроку, установленному классификатором основных средств, для указанных амортизационных групп;</w:t>
      </w:r>
    </w:p>
    <w:p w:rsidR="005109DA" w:rsidRDefault="00000000">
      <w:pPr>
        <w:pStyle w:val="ConsPlusNormal"/>
        <w:numPr>
          <w:ilvl w:val="0"/>
          <w:numId w:val="11"/>
        </w:numPr>
        <w:spacing w:line="276" w:lineRule="auto"/>
        <w:contextualSpacing/>
        <w:jc w:val="both"/>
        <w:rPr>
          <w:rFonts w:ascii="Times New Roman" w:hAnsi="Times New Roman"/>
          <w:sz w:val="26"/>
        </w:rPr>
      </w:pPr>
      <w:r>
        <w:rPr>
          <w:rFonts w:ascii="Times New Roman" w:hAnsi="Times New Roman"/>
          <w:sz w:val="26"/>
        </w:rPr>
        <w:t>по объектам основных средств, включенных в десятую амортизационную группу,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№1072;</w:t>
      </w:r>
    </w:p>
    <w:p w:rsidR="005109DA" w:rsidRDefault="00000000">
      <w:pPr>
        <w:pStyle w:val="ConsPlusNormal"/>
        <w:numPr>
          <w:ilvl w:val="0"/>
          <w:numId w:val="11"/>
        </w:numPr>
        <w:spacing w:line="276" w:lineRule="auto"/>
        <w:contextualSpacing/>
        <w:jc w:val="both"/>
        <w:rPr>
          <w:rFonts w:ascii="Times New Roman" w:hAnsi="Times New Roman"/>
          <w:sz w:val="26"/>
        </w:rPr>
      </w:pPr>
      <w:r>
        <w:rPr>
          <w:rFonts w:ascii="Times New Roman" w:hAnsi="Times New Roman"/>
          <w:sz w:val="26"/>
        </w:rPr>
        <w:t>в случае отсутствия объекта в классификации основных средств на основании рекомендаций, содержащихся в документах производителя, входящих в комплектацию объекта имущества.</w:t>
      </w:r>
    </w:p>
    <w:p w:rsidR="005109DA" w:rsidRDefault="005109DA">
      <w:pPr>
        <w:pStyle w:val="ConsPlusNormal"/>
        <w:spacing w:line="276" w:lineRule="auto"/>
        <w:ind w:left="-426" w:firstLine="426"/>
        <w:contextualSpacing/>
        <w:jc w:val="both"/>
        <w:rPr>
          <w:rFonts w:ascii="Times New Roman" w:hAnsi="Times New Roman"/>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5.2.10. Амортизация объектов основных средств, в том числе объектов, полученных по договору лизинга, начисляется линейным способом первым числом месяца, следующим за отчетным.</w:t>
      </w:r>
    </w:p>
    <w:p w:rsidR="005109DA" w:rsidRDefault="005109DA">
      <w:pPr>
        <w:pStyle w:val="ConsPlusNormal"/>
        <w:spacing w:line="276" w:lineRule="auto"/>
        <w:ind w:left="-426" w:firstLine="426"/>
        <w:contextualSpacing/>
        <w:jc w:val="both"/>
        <w:rPr>
          <w:rFonts w:ascii="Times New Roman" w:hAnsi="Times New Roman"/>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 xml:space="preserve">  5.2.11. Принадлежность объекта основных средств, к категории  особо ценного имущества определяется  Комиссией, в соответствии с  постановлением Правительства Санкт-Петербурга от 28.07.2008 №911 «Об определении видов и перечней особо ценного движимого имущества государственных автономных и бюджетных учреждений Санкт-Петербурга» и распоряжением Комитета имущественных отношений Санкт-Петербурга от 26.10.2021 №2525-рз «Об определении видов особо ценного движимого имущества бюджетных учреждений, подведомственных администрации Кировского района Санкт-Петербурга».</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5.2.12. Разукомплектация основных средств (например, система видеонаблюдения, офисная мебель и т.п.) оформляется Решением о признании объектов нефинансовых активов (ф.051441) на основании решения Комиссии субъекта централизованного учета.</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приказ Минфина России от 15.04.2021 №61н)</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5.2.13. При реклассификации  объектов основных средств выбытие из одной группы основных средств и отражение их в другой группе отражается одновременно без изменения стоимости.</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5.2.14. Затраты по замене отдельных составных частей единой системы, комплекса конструктивно-сочлененных предметов, в том числе при капитальном ремонте списываются на расходы текущего финансового года. </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5.2.15. Объекты основных средств учитываются по тому коду  финансового обеспечения, за счет которого они были приобретены, за исключением:</w:t>
      </w:r>
    </w:p>
    <w:p w:rsidR="005109DA" w:rsidRDefault="00000000">
      <w:pPr>
        <w:pStyle w:val="ConsPlusNormal"/>
        <w:numPr>
          <w:ilvl w:val="0"/>
          <w:numId w:val="12"/>
        </w:numPr>
        <w:spacing w:before="220" w:line="276" w:lineRule="auto"/>
        <w:contextualSpacing/>
        <w:jc w:val="both"/>
        <w:rPr>
          <w:rFonts w:ascii="Times New Roman" w:hAnsi="Times New Roman"/>
          <w:sz w:val="26"/>
        </w:rPr>
      </w:pPr>
      <w:r>
        <w:rPr>
          <w:rFonts w:ascii="Times New Roman" w:hAnsi="Times New Roman"/>
          <w:sz w:val="26"/>
        </w:rPr>
        <w:t>объектов основных средств, приобретенных за счет  средств субсидий                      на иные цели. Сумма вложений, сформированная на счете 5 106 00 000, переводится на код финансового обеспечения «4».</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5.2.16. При приобретении основных средств за счет средств, полученных более чем по одному коду финансового обеспечения, сумма вложений, сформированных                на счете 0 106 00 000 переводится на тот код финансового обеспечения, по которому они будут использоваться.</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5.2.17. Принятие к бухгалтерскому учету объектов основных средств                                           и материальных запасов по стоимости, сформированной при безвозмездном получении субъектами централизованного учета, отражается в случае:</w:t>
      </w:r>
    </w:p>
    <w:p w:rsidR="005109DA" w:rsidRDefault="00000000">
      <w:pPr>
        <w:pStyle w:val="ConsPlusNormal"/>
        <w:numPr>
          <w:ilvl w:val="0"/>
          <w:numId w:val="13"/>
        </w:numPr>
        <w:spacing w:before="220" w:line="276" w:lineRule="auto"/>
        <w:contextualSpacing/>
        <w:jc w:val="both"/>
        <w:rPr>
          <w:rFonts w:ascii="Times New Roman" w:hAnsi="Times New Roman"/>
          <w:sz w:val="26"/>
        </w:rPr>
      </w:pPr>
      <w:bookmarkStart w:id="6" w:name="_Hlk120874208"/>
      <w:r>
        <w:rPr>
          <w:rFonts w:ascii="Times New Roman" w:hAnsi="Times New Roman"/>
          <w:sz w:val="26"/>
        </w:rPr>
        <w:t>если имущество передано с кода финансового обеспечения «1», «4» или «5» принятие отражается:</w:t>
      </w:r>
    </w:p>
    <w:p w:rsidR="005109DA" w:rsidRDefault="00000000">
      <w:pPr>
        <w:pStyle w:val="ConsPlusNormal"/>
        <w:numPr>
          <w:ilvl w:val="0"/>
          <w:numId w:val="14"/>
        </w:numPr>
        <w:spacing w:before="220" w:line="276" w:lineRule="auto"/>
        <w:contextualSpacing/>
        <w:rPr>
          <w:rFonts w:ascii="Times New Roman" w:hAnsi="Times New Roman"/>
          <w:sz w:val="26"/>
        </w:rPr>
      </w:pPr>
      <w:r>
        <w:rPr>
          <w:rFonts w:ascii="Times New Roman" w:hAnsi="Times New Roman"/>
          <w:sz w:val="26"/>
        </w:rPr>
        <w:t>по коду финансового обеспечения «4»</w:t>
      </w:r>
      <w:bookmarkEnd w:id="6"/>
      <w:r>
        <w:rPr>
          <w:rFonts w:ascii="Times New Roman" w:hAnsi="Times New Roman"/>
          <w:sz w:val="26"/>
        </w:rPr>
        <w:t xml:space="preserve">:                                              учреждения здравоохранения, культуры, социальной политики, дошкольные образовательные и образовательные учреждения; </w:t>
      </w:r>
    </w:p>
    <w:p w:rsidR="005109DA" w:rsidRDefault="00000000">
      <w:pPr>
        <w:pStyle w:val="ConsPlusNormal"/>
        <w:numPr>
          <w:ilvl w:val="0"/>
          <w:numId w:val="14"/>
        </w:numPr>
        <w:spacing w:before="220" w:line="276" w:lineRule="auto"/>
        <w:contextualSpacing/>
        <w:rPr>
          <w:rFonts w:ascii="Times New Roman" w:hAnsi="Times New Roman"/>
          <w:sz w:val="26"/>
        </w:rPr>
      </w:pPr>
      <w:r>
        <w:rPr>
          <w:rFonts w:ascii="Times New Roman" w:hAnsi="Times New Roman"/>
          <w:sz w:val="26"/>
        </w:rPr>
        <w:t>по коду финансового обеспечения «1»:                              централизованная бухгалтерия;</w:t>
      </w:r>
    </w:p>
    <w:p w:rsidR="005109DA" w:rsidRDefault="00000000">
      <w:pPr>
        <w:pStyle w:val="ConsPlusNormal"/>
        <w:numPr>
          <w:ilvl w:val="0"/>
          <w:numId w:val="13"/>
        </w:numPr>
        <w:spacing w:before="220" w:line="276" w:lineRule="auto"/>
        <w:contextualSpacing/>
        <w:jc w:val="both"/>
        <w:rPr>
          <w:rFonts w:ascii="Times New Roman" w:hAnsi="Times New Roman"/>
          <w:sz w:val="26"/>
        </w:rPr>
      </w:pPr>
      <w:r>
        <w:rPr>
          <w:rFonts w:ascii="Times New Roman" w:hAnsi="Times New Roman"/>
          <w:sz w:val="26"/>
        </w:rPr>
        <w:t>если имущество передано с кода финансового обеспечения «2» или «7» принятие отражается:</w:t>
      </w:r>
    </w:p>
    <w:p w:rsidR="005109DA" w:rsidRDefault="00000000">
      <w:pPr>
        <w:pStyle w:val="ConsPlusNormal"/>
        <w:numPr>
          <w:ilvl w:val="0"/>
          <w:numId w:val="15"/>
        </w:numPr>
        <w:spacing w:before="220" w:line="276" w:lineRule="auto"/>
        <w:contextualSpacing/>
        <w:jc w:val="both"/>
        <w:rPr>
          <w:rFonts w:ascii="Times New Roman" w:hAnsi="Times New Roman"/>
          <w:sz w:val="26"/>
        </w:rPr>
      </w:pPr>
      <w:r>
        <w:rPr>
          <w:rFonts w:ascii="Times New Roman" w:hAnsi="Times New Roman"/>
          <w:sz w:val="26"/>
        </w:rPr>
        <w:t>по коду финансового обеспечения «2»:</w:t>
      </w:r>
    </w:p>
    <w:p w:rsidR="005109DA" w:rsidRDefault="00000000">
      <w:pPr>
        <w:pStyle w:val="ConsPlusNormal"/>
        <w:spacing w:before="220" w:line="276" w:lineRule="auto"/>
        <w:ind w:left="1440"/>
        <w:contextualSpacing/>
        <w:jc w:val="both"/>
        <w:rPr>
          <w:rFonts w:ascii="Times New Roman" w:hAnsi="Times New Roman"/>
          <w:sz w:val="26"/>
        </w:rPr>
      </w:pPr>
      <w:r>
        <w:rPr>
          <w:rFonts w:ascii="Times New Roman" w:hAnsi="Times New Roman"/>
          <w:sz w:val="26"/>
        </w:rPr>
        <w:t>учреждения здравоохранения, культуры, социальной политики, дошкольные образовательные и образовательные учреждения;</w:t>
      </w:r>
    </w:p>
    <w:p w:rsidR="005109DA" w:rsidRDefault="00000000">
      <w:pPr>
        <w:pStyle w:val="ConsPlusNormal"/>
        <w:numPr>
          <w:ilvl w:val="0"/>
          <w:numId w:val="13"/>
        </w:numPr>
        <w:spacing w:before="220" w:line="276" w:lineRule="auto"/>
        <w:contextualSpacing/>
        <w:jc w:val="both"/>
        <w:rPr>
          <w:rFonts w:ascii="Times New Roman" w:hAnsi="Times New Roman"/>
          <w:sz w:val="26"/>
        </w:rPr>
      </w:pPr>
      <w:r>
        <w:rPr>
          <w:rFonts w:ascii="Times New Roman" w:hAnsi="Times New Roman"/>
          <w:sz w:val="26"/>
        </w:rPr>
        <w:t>в исключительных случаях допускается принятие к учету на код финансового обеспечения, установленного передающей стороной или субъектом централизованного учета, в рамках которого имущество будет использоваться:</w:t>
      </w:r>
    </w:p>
    <w:p w:rsidR="005109DA" w:rsidRDefault="00000000">
      <w:pPr>
        <w:pStyle w:val="ConsPlusNormal"/>
        <w:numPr>
          <w:ilvl w:val="0"/>
          <w:numId w:val="15"/>
        </w:numPr>
        <w:spacing w:before="220" w:line="276" w:lineRule="auto"/>
        <w:contextualSpacing/>
        <w:jc w:val="both"/>
        <w:rPr>
          <w:rFonts w:ascii="Times New Roman" w:hAnsi="Times New Roman"/>
          <w:sz w:val="26"/>
        </w:rPr>
      </w:pPr>
      <w:r>
        <w:rPr>
          <w:rFonts w:ascii="Times New Roman" w:hAnsi="Times New Roman"/>
          <w:sz w:val="26"/>
        </w:rPr>
        <w:t>учреждениями здравоохранения.</w:t>
      </w:r>
    </w:p>
    <w:p w:rsidR="005109DA" w:rsidRDefault="005109DA">
      <w:pPr>
        <w:spacing w:after="0"/>
        <w:ind w:left="-426" w:firstLine="426"/>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5.2.18.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был приобретен субъектом централизованного учета за счет других источников стоимость этого объекта переводится на код финансового обеспечения «4». Одновременно переводится сумма начисленной амортизации.</w:t>
      </w:r>
    </w:p>
    <w:p w:rsidR="005109DA" w:rsidRDefault="005109DA">
      <w:pPr>
        <w:spacing w:after="0"/>
        <w:ind w:left="-426" w:firstLine="426"/>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5.2.19. Объекты основных средств,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 подлежат списанию                            с балансового учета, на основании Решения о прекращении признания активами объектов нефинансовых активов (ф.0510440), с одновременным отражением                        на забалансовом счете 02 "Материальные ценности на хранении" в условной оценке: один объект, один рубль.</w:t>
      </w:r>
    </w:p>
    <w:p w:rsidR="005109DA" w:rsidRDefault="005109DA">
      <w:pPr>
        <w:spacing w:after="0"/>
        <w:ind w:left="-426" w:firstLine="426"/>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5.2.20. При принятии решения о признании движимого имущества, непригодным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Комиссия руководствуется  Постановлением Правительства от 19.09.2014 №877 «О порядке принятия решений об уничтожении имущества, находящегося                        в государственной собственности Санкт-Петербурга».</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5.2.21. Признание объекта основных средств, в бухгалтерском учете в качестве актива,  прекращается в случае выбытия по основаниям, предусматривающим принятие решения о списании государственного имущества, при передаче другой организации бюджетной сферы, по иным основаниям, предусматривающим в соответствии с законодательством Российской Федерации прекращение права оперативного управления имуществом.</w:t>
      </w:r>
    </w:p>
    <w:p w:rsidR="005109DA" w:rsidRDefault="00000000">
      <w:pPr>
        <w:pStyle w:val="ConsPlusNormal"/>
        <w:spacing w:before="220"/>
        <w:ind w:left="-426" w:firstLine="426"/>
        <w:contextualSpacing/>
        <w:jc w:val="both"/>
        <w:rPr>
          <w:rFonts w:ascii="Times New Roman" w:hAnsi="Times New Roman"/>
          <w:sz w:val="26"/>
        </w:rPr>
      </w:pPr>
      <w:r>
        <w:rPr>
          <w:rFonts w:ascii="Times New Roman" w:hAnsi="Times New Roman"/>
          <w:sz w:val="26"/>
        </w:rPr>
        <w:t xml:space="preserve">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5.2.22. Выбытие (списание) объектов основных средств оформляется следующими документами:</w:t>
      </w:r>
    </w:p>
    <w:p w:rsidR="005109DA" w:rsidRDefault="00000000">
      <w:pPr>
        <w:pStyle w:val="ConsPlusNormal"/>
        <w:numPr>
          <w:ilvl w:val="0"/>
          <w:numId w:val="16"/>
        </w:numPr>
        <w:spacing w:before="220" w:line="276" w:lineRule="auto"/>
        <w:contextualSpacing/>
        <w:jc w:val="both"/>
        <w:rPr>
          <w:rFonts w:ascii="Times New Roman" w:hAnsi="Times New Roman"/>
          <w:sz w:val="26"/>
        </w:rPr>
      </w:pPr>
      <w:r>
        <w:rPr>
          <w:rFonts w:ascii="Times New Roman" w:hAnsi="Times New Roman"/>
          <w:sz w:val="26"/>
        </w:rPr>
        <w:t xml:space="preserve">акт о приеме-передаче объектов нефинансовых активов </w:t>
      </w:r>
      <w:hyperlink r:id="rId41" w:history="1">
        <w:r>
          <w:rPr>
            <w:rFonts w:ascii="Times New Roman" w:hAnsi="Times New Roman"/>
            <w:sz w:val="26"/>
          </w:rPr>
          <w:t>(ф. 0510448)</w:t>
        </w:r>
      </w:hyperlink>
      <w:r>
        <w:rPr>
          <w:rFonts w:ascii="Times New Roman" w:hAnsi="Times New Roman"/>
          <w:sz w:val="26"/>
        </w:rPr>
        <w:t>;</w:t>
      </w:r>
    </w:p>
    <w:p w:rsidR="005109DA" w:rsidRDefault="00000000">
      <w:pPr>
        <w:pStyle w:val="ConsPlusNormal"/>
        <w:numPr>
          <w:ilvl w:val="0"/>
          <w:numId w:val="16"/>
        </w:numPr>
        <w:spacing w:before="220" w:line="276" w:lineRule="auto"/>
        <w:contextualSpacing/>
        <w:jc w:val="both"/>
        <w:rPr>
          <w:rFonts w:ascii="Times New Roman" w:hAnsi="Times New Roman"/>
          <w:sz w:val="26"/>
        </w:rPr>
      </w:pPr>
      <w:r>
        <w:rPr>
          <w:rFonts w:ascii="Times New Roman" w:hAnsi="Times New Roman"/>
          <w:sz w:val="26"/>
        </w:rPr>
        <w:t xml:space="preserve">акт о списании объектов нефинансовых активов (кроме транспортных средств) </w:t>
      </w:r>
      <w:hyperlink r:id="rId42" w:history="1">
        <w:r>
          <w:rPr>
            <w:rFonts w:ascii="Times New Roman" w:hAnsi="Times New Roman"/>
            <w:sz w:val="26"/>
          </w:rPr>
          <w:t>(ф. 0510454)</w:t>
        </w:r>
      </w:hyperlink>
      <w:r>
        <w:rPr>
          <w:rFonts w:ascii="Times New Roman" w:hAnsi="Times New Roman"/>
          <w:sz w:val="26"/>
        </w:rPr>
        <w:t>;</w:t>
      </w:r>
    </w:p>
    <w:p w:rsidR="005109DA" w:rsidRDefault="00000000">
      <w:pPr>
        <w:pStyle w:val="ConsPlusNormal"/>
        <w:numPr>
          <w:ilvl w:val="0"/>
          <w:numId w:val="16"/>
        </w:numPr>
        <w:spacing w:before="220" w:line="276" w:lineRule="auto"/>
        <w:contextualSpacing/>
        <w:jc w:val="both"/>
        <w:rPr>
          <w:rFonts w:ascii="Times New Roman" w:hAnsi="Times New Roman"/>
          <w:sz w:val="26"/>
        </w:rPr>
      </w:pPr>
      <w:r>
        <w:rPr>
          <w:rFonts w:ascii="Times New Roman" w:hAnsi="Times New Roman"/>
          <w:sz w:val="26"/>
        </w:rPr>
        <w:t xml:space="preserve">акт о списании транспортного средства </w:t>
      </w:r>
      <w:hyperlink r:id="rId43" w:history="1">
        <w:r>
          <w:rPr>
            <w:rFonts w:ascii="Times New Roman" w:hAnsi="Times New Roman"/>
            <w:sz w:val="26"/>
          </w:rPr>
          <w:t>(ф. 0510456)</w:t>
        </w:r>
      </w:hyperlink>
      <w:r>
        <w:rPr>
          <w:rFonts w:ascii="Times New Roman" w:hAnsi="Times New Roman"/>
          <w:sz w:val="26"/>
        </w:rPr>
        <w:t>.</w:t>
      </w:r>
    </w:p>
    <w:p w:rsidR="005109DA" w:rsidRDefault="00000000">
      <w:pPr>
        <w:pStyle w:val="ConsPlusNormal"/>
        <w:numPr>
          <w:ilvl w:val="0"/>
          <w:numId w:val="16"/>
        </w:numPr>
        <w:spacing w:before="220"/>
        <w:contextualSpacing/>
        <w:jc w:val="both"/>
        <w:rPr>
          <w:rFonts w:ascii="Times New Roman" w:hAnsi="Times New Roman"/>
          <w:sz w:val="26"/>
        </w:rPr>
      </w:pPr>
      <w:r>
        <w:rPr>
          <w:rFonts w:ascii="Times New Roman" w:hAnsi="Times New Roman"/>
          <w:sz w:val="26"/>
        </w:rPr>
        <w:t xml:space="preserve">акт об утилизации (уничтожении) материальных ценностей </w:t>
      </w:r>
      <w:hyperlink r:id="rId44" w:history="1">
        <w:r>
          <w:rPr>
            <w:rFonts w:ascii="Times New Roman" w:hAnsi="Times New Roman"/>
            <w:sz w:val="26"/>
          </w:rPr>
          <w:t>(ф. 0510435)</w:t>
        </w:r>
      </w:hyperlink>
      <w:r>
        <w:rPr>
          <w:rFonts w:ascii="Times New Roman" w:hAnsi="Times New Roman"/>
          <w:sz w:val="26"/>
        </w:rPr>
        <w:t>.</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5.2.23. При переоценке объекта основных средств накопленная амортизация пересчитывается пропорционально изменению первоначальной (балансовой) стоимости основного средства и подлежат отражению в бухгалтерском учете обособленно в Журнале по прочим операциям.</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Пересчет производится таким образом, чтобы остаточная стоимость объекта после переоценки равнялась его переоцененной стоимости. </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п. 28 Инструкции № 157н, </w:t>
      </w:r>
      <w:r>
        <w:t xml:space="preserve"> </w:t>
      </w:r>
      <w:hyperlink r:id="rId45" w:history="1">
        <w:r>
          <w:rPr>
            <w:rFonts w:ascii="Times New Roman" w:hAnsi="Times New Roman"/>
            <w:i/>
            <w:sz w:val="26"/>
          </w:rPr>
          <w:t>п. 41</w:t>
        </w:r>
      </w:hyperlink>
      <w:r>
        <w:rPr>
          <w:rFonts w:ascii="Times New Roman" w:hAnsi="Times New Roman"/>
          <w:i/>
          <w:sz w:val="26"/>
        </w:rPr>
        <w:t xml:space="preserve"> СГС "Основные средства")</w:t>
      </w:r>
    </w:p>
    <w:p w:rsidR="005109DA" w:rsidRDefault="005109DA">
      <w:pPr>
        <w:pStyle w:val="ConsPlusNormal"/>
        <w:spacing w:before="220" w:line="276" w:lineRule="auto"/>
        <w:ind w:left="-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5.2.24.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w:t>
      </w:r>
      <w:r>
        <w:t xml:space="preserve"> </w:t>
      </w:r>
      <w:r>
        <w:rPr>
          <w:rFonts w:ascii="Times New Roman" w:hAnsi="Times New Roman"/>
          <w:sz w:val="26"/>
        </w:rPr>
        <w:t>субъекта централизованного учета, за которым закреплено основное средство.</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5.2.25. К работам по благоустройству территории относятся:</w:t>
      </w:r>
    </w:p>
    <w:p w:rsidR="005109DA" w:rsidRDefault="00000000">
      <w:pPr>
        <w:pStyle w:val="ConsPlusNormal"/>
        <w:numPr>
          <w:ilvl w:val="0"/>
          <w:numId w:val="17"/>
        </w:numPr>
        <w:spacing w:before="220" w:line="276" w:lineRule="auto"/>
        <w:contextualSpacing/>
        <w:jc w:val="both"/>
        <w:rPr>
          <w:rFonts w:ascii="Times New Roman" w:hAnsi="Times New Roman"/>
          <w:sz w:val="26"/>
        </w:rPr>
      </w:pPr>
      <w:r>
        <w:rPr>
          <w:rFonts w:ascii="Times New Roman" w:hAnsi="Times New Roman"/>
          <w:sz w:val="26"/>
        </w:rPr>
        <w:t>инженерная подготовка и обеспечение безопасности;</w:t>
      </w:r>
    </w:p>
    <w:p w:rsidR="005109DA" w:rsidRDefault="00000000">
      <w:pPr>
        <w:pStyle w:val="ConsPlusNormal"/>
        <w:numPr>
          <w:ilvl w:val="0"/>
          <w:numId w:val="17"/>
        </w:numPr>
        <w:spacing w:before="220" w:line="276" w:lineRule="auto"/>
        <w:contextualSpacing/>
        <w:jc w:val="both"/>
        <w:rPr>
          <w:rFonts w:ascii="Times New Roman" w:hAnsi="Times New Roman"/>
          <w:sz w:val="26"/>
        </w:rPr>
      </w:pPr>
      <w:r>
        <w:rPr>
          <w:rFonts w:ascii="Times New Roman" w:hAnsi="Times New Roman"/>
          <w:sz w:val="26"/>
        </w:rPr>
        <w:t>озеленение, в том числе разбивка газонов, клумб, бордюр;</w:t>
      </w:r>
    </w:p>
    <w:p w:rsidR="005109DA" w:rsidRDefault="00000000">
      <w:pPr>
        <w:pStyle w:val="ConsPlusNormal"/>
        <w:numPr>
          <w:ilvl w:val="0"/>
          <w:numId w:val="17"/>
        </w:numPr>
        <w:spacing w:before="220" w:line="276" w:lineRule="auto"/>
        <w:contextualSpacing/>
        <w:jc w:val="both"/>
        <w:rPr>
          <w:rFonts w:ascii="Times New Roman" w:hAnsi="Times New Roman"/>
          <w:sz w:val="26"/>
        </w:rPr>
      </w:pPr>
      <w:r>
        <w:rPr>
          <w:rFonts w:ascii="Times New Roman" w:hAnsi="Times New Roman"/>
          <w:sz w:val="26"/>
        </w:rPr>
        <w:t>устройство покрытий, в том числе асфальтирование, укладка плитки, бордюрных камней;</w:t>
      </w:r>
    </w:p>
    <w:p w:rsidR="005109DA" w:rsidRDefault="00000000">
      <w:pPr>
        <w:pStyle w:val="ConsPlusNormal"/>
        <w:numPr>
          <w:ilvl w:val="0"/>
          <w:numId w:val="17"/>
        </w:numPr>
        <w:spacing w:before="220" w:line="276" w:lineRule="auto"/>
        <w:contextualSpacing/>
        <w:jc w:val="both"/>
        <w:rPr>
          <w:rFonts w:ascii="Times New Roman" w:hAnsi="Times New Roman"/>
          <w:sz w:val="26"/>
        </w:rPr>
      </w:pPr>
      <w:r>
        <w:rPr>
          <w:rFonts w:ascii="Times New Roman" w:hAnsi="Times New Roman"/>
          <w:sz w:val="26"/>
        </w:rPr>
        <w:t>устройство освещения.</w:t>
      </w:r>
    </w:p>
    <w:p w:rsidR="005109DA" w:rsidRDefault="00000000">
      <w:pPr>
        <w:pStyle w:val="ConsPlusNormal"/>
        <w:spacing w:before="220" w:line="276" w:lineRule="auto"/>
        <w:ind w:left="720"/>
        <w:contextualSpacing/>
        <w:jc w:val="both"/>
        <w:rPr>
          <w:rFonts w:ascii="Times New Roman" w:hAnsi="Times New Roman"/>
          <w:sz w:val="26"/>
        </w:rPr>
      </w:pPr>
      <w:r>
        <w:rPr>
          <w:rFonts w:ascii="Times New Roman" w:hAnsi="Times New Roman"/>
          <w:sz w:val="26"/>
        </w:rPr>
        <w:t>К элементам (объектам) благоустройства относятся:</w:t>
      </w:r>
    </w:p>
    <w:p w:rsidR="005109DA" w:rsidRDefault="00000000">
      <w:pPr>
        <w:pStyle w:val="ConsPlusNormal"/>
        <w:numPr>
          <w:ilvl w:val="0"/>
          <w:numId w:val="17"/>
        </w:numPr>
        <w:spacing w:before="220" w:line="276" w:lineRule="auto"/>
        <w:contextualSpacing/>
        <w:jc w:val="both"/>
        <w:rPr>
          <w:rFonts w:ascii="Times New Roman" w:hAnsi="Times New Roman"/>
          <w:sz w:val="26"/>
        </w:rPr>
      </w:pPr>
      <w:r>
        <w:rPr>
          <w:rFonts w:ascii="Times New Roman" w:hAnsi="Times New Roman"/>
          <w:sz w:val="26"/>
        </w:rPr>
        <w:t>различные виды оборудования и оформления, в том числе фонари уличного освещения, скамейки, лавочки, беседки;</w:t>
      </w:r>
    </w:p>
    <w:p w:rsidR="005109DA" w:rsidRDefault="00000000">
      <w:pPr>
        <w:pStyle w:val="ConsPlusNormal"/>
        <w:numPr>
          <w:ilvl w:val="0"/>
          <w:numId w:val="17"/>
        </w:numPr>
        <w:spacing w:before="220" w:line="276" w:lineRule="auto"/>
        <w:contextualSpacing/>
        <w:jc w:val="both"/>
        <w:rPr>
          <w:rFonts w:ascii="Times New Roman" w:hAnsi="Times New Roman"/>
          <w:sz w:val="26"/>
        </w:rPr>
      </w:pPr>
      <w:r>
        <w:rPr>
          <w:rFonts w:ascii="Times New Roman" w:hAnsi="Times New Roman"/>
          <w:sz w:val="26"/>
        </w:rPr>
        <w:t>растительные компоненты, в том числе газоны, клумбы, многолетние насаждения;</w:t>
      </w:r>
    </w:p>
    <w:p w:rsidR="005109DA" w:rsidRDefault="00000000">
      <w:pPr>
        <w:pStyle w:val="ConsPlusNormal"/>
        <w:numPr>
          <w:ilvl w:val="0"/>
          <w:numId w:val="17"/>
        </w:numPr>
        <w:spacing w:before="220" w:line="276" w:lineRule="auto"/>
        <w:contextualSpacing/>
        <w:jc w:val="both"/>
        <w:rPr>
          <w:rFonts w:ascii="Times New Roman" w:hAnsi="Times New Roman"/>
          <w:sz w:val="26"/>
        </w:rPr>
      </w:pPr>
      <w:r>
        <w:rPr>
          <w:rFonts w:ascii="Times New Roman" w:hAnsi="Times New Roman"/>
          <w:sz w:val="26"/>
        </w:rPr>
        <w:t>информация, используемая как составная часть благоустройства;</w:t>
      </w:r>
    </w:p>
    <w:p w:rsidR="005109DA" w:rsidRDefault="00000000">
      <w:pPr>
        <w:pStyle w:val="ConsPlusNormal"/>
        <w:numPr>
          <w:ilvl w:val="0"/>
          <w:numId w:val="17"/>
        </w:numPr>
        <w:spacing w:before="220" w:line="276" w:lineRule="auto"/>
        <w:contextualSpacing/>
        <w:jc w:val="both"/>
        <w:rPr>
          <w:rFonts w:ascii="Times New Roman" w:hAnsi="Times New Roman"/>
          <w:sz w:val="26"/>
        </w:rPr>
      </w:pPr>
      <w:r>
        <w:rPr>
          <w:rFonts w:ascii="Times New Roman" w:hAnsi="Times New Roman"/>
          <w:sz w:val="26"/>
        </w:rPr>
        <w:t>декоративные, технические, конструктивные устройства, в том числе ограждения, стоянки для автотранспорта, различные площадки.</w:t>
      </w:r>
    </w:p>
    <w:p w:rsidR="005109DA" w:rsidRDefault="00000000">
      <w:pPr>
        <w:widowControl w:val="0"/>
        <w:spacing w:before="220" w:after="0" w:line="240" w:lineRule="auto"/>
        <w:ind w:left="-426" w:firstLine="426"/>
        <w:contextualSpacing/>
        <w:jc w:val="both"/>
        <w:rPr>
          <w:rFonts w:ascii="Times New Roman" w:hAnsi="Times New Roman"/>
          <w:i/>
          <w:sz w:val="26"/>
        </w:rPr>
      </w:pPr>
      <w:r>
        <w:rPr>
          <w:rFonts w:ascii="Times New Roman" w:hAnsi="Times New Roman"/>
          <w:i/>
          <w:sz w:val="26"/>
        </w:rPr>
        <w:t>(Основание: СП 82.13330, утвержденный постановлением Государственного комитета Совета Министров СССР по делам строительства от 25 сентября 1975г. №158)</w:t>
      </w:r>
    </w:p>
    <w:p w:rsidR="005109DA" w:rsidRDefault="005109DA">
      <w:pPr>
        <w:widowControl w:val="0"/>
        <w:spacing w:before="220" w:after="0" w:line="240" w:lineRule="auto"/>
        <w:ind w:left="-426" w:firstLine="426"/>
        <w:contextualSpacing/>
        <w:jc w:val="both"/>
        <w:rPr>
          <w:rFonts w:ascii="Times New Roman" w:hAnsi="Times New Roman"/>
          <w:i/>
          <w:sz w:val="26"/>
        </w:rPr>
      </w:pPr>
    </w:p>
    <w:p w:rsidR="005109DA" w:rsidRDefault="00000000">
      <w:pPr>
        <w:pStyle w:val="ConsPlusNormal"/>
        <w:ind w:left="-426" w:firstLine="426"/>
        <w:contextualSpacing/>
        <w:jc w:val="center"/>
        <w:rPr>
          <w:rFonts w:ascii="Times New Roman" w:hAnsi="Times New Roman"/>
          <w:b/>
          <w:sz w:val="26"/>
        </w:rPr>
      </w:pPr>
      <w:r>
        <w:rPr>
          <w:rFonts w:ascii="Times New Roman" w:hAnsi="Times New Roman"/>
          <w:b/>
          <w:sz w:val="26"/>
        </w:rPr>
        <w:t>5.3. Нематериальные активы</w:t>
      </w:r>
    </w:p>
    <w:p w:rsidR="005109DA" w:rsidRDefault="005109DA">
      <w:pPr>
        <w:pStyle w:val="ConsPlusNormal"/>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5.3.1. В составе нематериальных активов учитываются объекты нефинансовых активов, предназначенные для неоднократного и (или) постоянного использования свыше 12 месяцев, в отношении которого возникли исключительные права, а также иные права (неисключительные права) в соответствии с лицензионными договорами либо иными документами, подтверждающими существование прав на такой актив.</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 56 Инструкции № 157н, п. п. п. 4,5,6 СГС "Нематериальные активы", п. п. 35-37 СГС "Концептуальные основы")</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5.3.2. Допускается принятие к учету программного продукта (сайт) без наличия документов, подтверждающих права.</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письмо Минфина России от 10.07.2014 № 02-06-10/33751)</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5.3.3. Инвентарный номер, присвоенный сайту, используется только в регистрах учета и сохраняется за ним на весь период учета.</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sz w:val="26"/>
        </w:rPr>
        <w:t xml:space="preserve"> </w:t>
      </w:r>
      <w:r>
        <w:rPr>
          <w:rFonts w:ascii="Times New Roman" w:hAnsi="Times New Roman"/>
          <w:i/>
          <w:sz w:val="26"/>
        </w:rPr>
        <w:t>(Основание: п. 9 Федерального стандарта № 181н, п. 59 Инструкции № 157н)</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5.3.4. Единицей бухгалтерского учета объекта нематериальных активов является инвентарный объект.</w:t>
      </w: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Инвентарным объектом нематериальных активов признается совокупность прав на несколько рабочих мест, возникающих из договора (государственного контракта), иного правоустанавливающего документа, подтверждающего создание, приобретение (отчуждение) в пользу учреждения прав на результаты интеллектуальной деятельности.</w:t>
      </w:r>
    </w:p>
    <w:p w:rsidR="005109DA" w:rsidRDefault="005109DA">
      <w:pPr>
        <w:pStyle w:val="ConsPlusNormal"/>
        <w:spacing w:line="276" w:lineRule="auto"/>
        <w:ind w:left="-426" w:firstLine="426"/>
        <w:contextualSpacing/>
        <w:jc w:val="both"/>
        <w:rPr>
          <w:rFonts w:ascii="Times New Roman" w:hAnsi="Times New Roman"/>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 xml:space="preserve">5.3.5. Комиссия определяет срок полезного использования нематериального актива: </w:t>
      </w:r>
    </w:p>
    <w:p w:rsidR="005109DA" w:rsidRDefault="00000000">
      <w:pPr>
        <w:pStyle w:val="ConsPlusNormal"/>
        <w:numPr>
          <w:ilvl w:val="0"/>
          <w:numId w:val="12"/>
        </w:numPr>
        <w:spacing w:line="276" w:lineRule="auto"/>
        <w:contextualSpacing/>
        <w:jc w:val="both"/>
        <w:rPr>
          <w:rFonts w:ascii="Times New Roman" w:hAnsi="Times New Roman"/>
          <w:sz w:val="26"/>
        </w:rPr>
      </w:pPr>
      <w:r>
        <w:rPr>
          <w:rFonts w:ascii="Times New Roman" w:hAnsi="Times New Roman"/>
          <w:sz w:val="26"/>
        </w:rPr>
        <w:t>с определенным сроком полезного использования, исходя из срока договора, лицензий и т.д.</w:t>
      </w:r>
    </w:p>
    <w:p w:rsidR="005109DA" w:rsidRDefault="00000000">
      <w:pPr>
        <w:pStyle w:val="ConsPlusNormal"/>
        <w:numPr>
          <w:ilvl w:val="0"/>
          <w:numId w:val="12"/>
        </w:numPr>
        <w:spacing w:line="276" w:lineRule="auto"/>
        <w:contextualSpacing/>
        <w:jc w:val="both"/>
        <w:rPr>
          <w:rFonts w:ascii="Times New Roman" w:hAnsi="Times New Roman"/>
          <w:sz w:val="26"/>
        </w:rPr>
      </w:pPr>
      <w:r>
        <w:rPr>
          <w:rFonts w:ascii="Times New Roman" w:hAnsi="Times New Roman"/>
          <w:sz w:val="26"/>
        </w:rPr>
        <w:t>с неопределенным сроком полезного использования.</w:t>
      </w:r>
    </w:p>
    <w:p w:rsidR="005109DA" w:rsidRDefault="00000000">
      <w:pPr>
        <w:pStyle w:val="ConsPlusNormal"/>
        <w:spacing w:line="276" w:lineRule="auto"/>
        <w:ind w:left="-426" w:firstLine="426"/>
        <w:contextualSpacing/>
        <w:jc w:val="both"/>
        <w:rPr>
          <w:rFonts w:ascii="Times New Roman" w:hAnsi="Times New Roman"/>
          <w:i/>
          <w:sz w:val="26"/>
        </w:rPr>
      </w:pPr>
      <w:r>
        <w:rPr>
          <w:rFonts w:ascii="Times New Roman" w:hAnsi="Times New Roman"/>
          <w:sz w:val="26"/>
        </w:rPr>
        <w:t>Нематериальные активы, отраженные в условной оценке: один объект, один рубль признаются нематериальным активом с неопределенным сроком полезного использования.</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5.3.6. Амортизация по всем нематериальным активам начисляется линейным методом 1-го числа месяца, следующего за месяцем принятия его к бухгалтерскому учету, и прекращается 1-го числа месяца, следующего за месяцем прекращения признания объекта нематериального актива (выбытия его из бухгалтерского учета).</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Амортизация объекта нематериальных активов начисляется с учетом следующих положений:</w:t>
      </w:r>
    </w:p>
    <w:p w:rsidR="005109DA" w:rsidRDefault="00000000">
      <w:pPr>
        <w:pStyle w:val="ConsPlusNormal"/>
        <w:numPr>
          <w:ilvl w:val="0"/>
          <w:numId w:val="18"/>
        </w:numPr>
        <w:spacing w:before="220" w:line="276" w:lineRule="auto"/>
        <w:contextualSpacing/>
        <w:jc w:val="both"/>
        <w:rPr>
          <w:rFonts w:ascii="Times New Roman" w:hAnsi="Times New Roman"/>
          <w:sz w:val="26"/>
        </w:rPr>
      </w:pPr>
      <w:r>
        <w:rPr>
          <w:rFonts w:ascii="Times New Roman" w:hAnsi="Times New Roman"/>
          <w:sz w:val="26"/>
        </w:rPr>
        <w:t>на объекты нематериальных активов стоимостью свыше 100 000 рублей амортизация начисляется в соответствии с нормами амортизации согласно применяемому методу амортизации;</w:t>
      </w:r>
    </w:p>
    <w:p w:rsidR="005109DA" w:rsidRDefault="00000000">
      <w:pPr>
        <w:pStyle w:val="ConsPlusNormal"/>
        <w:numPr>
          <w:ilvl w:val="0"/>
          <w:numId w:val="18"/>
        </w:numPr>
        <w:spacing w:before="220" w:line="276" w:lineRule="auto"/>
        <w:contextualSpacing/>
        <w:jc w:val="both"/>
        <w:rPr>
          <w:rFonts w:ascii="Times New Roman" w:hAnsi="Times New Roman"/>
          <w:sz w:val="26"/>
        </w:rPr>
      </w:pPr>
      <w:r>
        <w:rPr>
          <w:rFonts w:ascii="Times New Roman" w:hAnsi="Times New Roman"/>
          <w:sz w:val="26"/>
        </w:rPr>
        <w:t>на объекты нематериальных активов стоимостью до 100 000 рублей включительно амортизация начисляется в размере 100% первоначальной стоимости при признании объекта в составе группы нематериальных активов.</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5.3.7. В момент принятия  к бухгалтерскому учету каждому инвентарному объекту нематериального актива, присваивается инвентарный номер, который состоит                             из 13 знаков:</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1-й знак - код вида финансового обеспечения;</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2 - 6-й знаки - код счета бюджетного учета;</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7 - 13-й знаки - порядковый номер объекта.</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Присвоенный инвентарный номер сохраняется за ним на весь период.</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 xml:space="preserve"> (Основание: п. 9 СГС "Основные средства", п. 46 Инструкции № 157н)</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color w:val="222222"/>
          <w:sz w:val="26"/>
          <w:highlight w:val="white"/>
        </w:rPr>
      </w:pPr>
      <w:r>
        <w:rPr>
          <w:rFonts w:ascii="Times New Roman" w:hAnsi="Times New Roman"/>
          <w:sz w:val="26"/>
        </w:rPr>
        <w:t>5.3.8.</w:t>
      </w:r>
      <w:r>
        <w:rPr>
          <w:rFonts w:ascii="Times New Roman" w:hAnsi="Times New Roman"/>
          <w:color w:val="222222"/>
          <w:sz w:val="26"/>
          <w:highlight w:val="white"/>
        </w:rPr>
        <w:t xml:space="preserve">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5.3.9. В случае, если по результатам инвентаризации были выявлены излишки, нематериальные активы принимаются к учету по коду финансового обеспечения «4».</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sz w:val="26"/>
        </w:rPr>
        <w:t xml:space="preserve">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5.3.10. Объекты нематериальных активов, используемые по договору аренды (хостинг), не удовлетворяющие критериям учета СГС "Нематериальные активы"                      и СГС "Аренда" не учитываются в составе актива баланса и в расходах будущих периодов.</w:t>
      </w:r>
    </w:p>
    <w:p w:rsidR="005109DA" w:rsidRDefault="005109DA">
      <w:pPr>
        <w:pStyle w:val="ConsPlusNormal"/>
        <w:spacing w:before="220" w:line="276" w:lineRule="auto"/>
        <w:ind w:left="-349"/>
        <w:contextualSpacing/>
        <w:jc w:val="center"/>
        <w:rPr>
          <w:rFonts w:ascii="Times New Roman" w:hAnsi="Times New Roman"/>
          <w:b/>
          <w:sz w:val="26"/>
        </w:rPr>
      </w:pPr>
    </w:p>
    <w:p w:rsidR="005109DA" w:rsidRDefault="005109DA">
      <w:pPr>
        <w:pStyle w:val="ConsPlusNormal"/>
        <w:spacing w:before="220" w:line="276" w:lineRule="auto"/>
        <w:ind w:left="360"/>
        <w:contextualSpacing/>
        <w:jc w:val="center"/>
        <w:rPr>
          <w:rFonts w:ascii="Times New Roman" w:hAnsi="Times New Roman"/>
          <w:b/>
          <w:sz w:val="26"/>
        </w:rPr>
      </w:pPr>
    </w:p>
    <w:p w:rsidR="005109DA" w:rsidRDefault="00000000">
      <w:pPr>
        <w:pStyle w:val="ConsPlusNormal"/>
        <w:spacing w:before="220" w:line="276" w:lineRule="auto"/>
        <w:ind w:left="360"/>
        <w:contextualSpacing/>
        <w:jc w:val="center"/>
        <w:rPr>
          <w:rFonts w:ascii="Times New Roman" w:hAnsi="Times New Roman"/>
          <w:b/>
          <w:sz w:val="26"/>
        </w:rPr>
      </w:pPr>
      <w:r>
        <w:rPr>
          <w:rFonts w:ascii="Times New Roman" w:hAnsi="Times New Roman"/>
          <w:b/>
          <w:sz w:val="26"/>
        </w:rPr>
        <w:t>5.4. Права пользования активами</w:t>
      </w:r>
    </w:p>
    <w:p w:rsidR="005109DA" w:rsidRDefault="005109DA">
      <w:pPr>
        <w:pStyle w:val="ConsPlusNormal"/>
        <w:spacing w:before="220" w:line="276" w:lineRule="auto"/>
        <w:ind w:left="-426" w:firstLine="426"/>
        <w:contextualSpacing/>
        <w:jc w:val="center"/>
        <w:rPr>
          <w:rFonts w:ascii="Times New Roman" w:hAnsi="Times New Roman"/>
          <w:b/>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5.4.1. Объекты операционной аренды учитываются на счете 0 111 00 000                               на основании договоров безвозмездного пользования, договоров аренды, заключенных                                        на определенный или неопределенный срок.</w:t>
      </w:r>
    </w:p>
    <w:p w:rsidR="005109DA" w:rsidRDefault="005109DA">
      <w:pPr>
        <w:spacing w:after="0"/>
        <w:ind w:left="-426" w:firstLine="426"/>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5.4.2. Стоимость права пользования активами  равна сумме арендных платежей                      за весь срок пользования имуществом по договору аренды или</w:t>
      </w:r>
      <w:r>
        <w:t xml:space="preserve"> </w:t>
      </w:r>
      <w:r>
        <w:rPr>
          <w:rFonts w:ascii="Times New Roman" w:hAnsi="Times New Roman"/>
          <w:sz w:val="26"/>
        </w:rPr>
        <w:t>договору безвозмездного пользования.</w:t>
      </w:r>
    </w:p>
    <w:p w:rsidR="005109DA" w:rsidRDefault="005109DA">
      <w:pPr>
        <w:spacing w:after="0"/>
        <w:ind w:left="-426" w:firstLine="426"/>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5.4.3. Начисление амортизации по принятому к учету праву пользования активом осуществляется с даты его принятия к учету в пользование (аренду) и далее равномерно (ежемесячно):</w:t>
      </w:r>
    </w:p>
    <w:p w:rsidR="005109DA" w:rsidRDefault="00000000">
      <w:pPr>
        <w:pStyle w:val="a3"/>
        <w:numPr>
          <w:ilvl w:val="0"/>
          <w:numId w:val="19"/>
        </w:numPr>
        <w:spacing w:after="0"/>
        <w:jc w:val="both"/>
        <w:rPr>
          <w:rFonts w:ascii="Times New Roman" w:hAnsi="Times New Roman"/>
          <w:sz w:val="26"/>
        </w:rPr>
      </w:pPr>
      <w:r>
        <w:rPr>
          <w:rFonts w:ascii="Times New Roman" w:hAnsi="Times New Roman"/>
          <w:sz w:val="26"/>
        </w:rPr>
        <w:t>для объектов имущества полученного в аренду – в соответствии с графиком платежей, установленных договором аренды;</w:t>
      </w:r>
    </w:p>
    <w:p w:rsidR="005109DA" w:rsidRDefault="00000000">
      <w:pPr>
        <w:pStyle w:val="a3"/>
        <w:numPr>
          <w:ilvl w:val="0"/>
          <w:numId w:val="19"/>
        </w:numPr>
        <w:spacing w:after="0"/>
        <w:jc w:val="both"/>
        <w:rPr>
          <w:rFonts w:ascii="Times New Roman" w:hAnsi="Times New Roman"/>
          <w:sz w:val="26"/>
        </w:rPr>
      </w:pPr>
      <w:r>
        <w:rPr>
          <w:rFonts w:ascii="Times New Roman" w:hAnsi="Times New Roman"/>
          <w:sz w:val="26"/>
        </w:rPr>
        <w:t>для имущества, полученного в пользование – первого числа месяца следующего за месяцем принятия к учету в течении срока полезного использования объекта учета аренды и заканчивается на дату окончания (расторжения) договора аренды (права пользования объектом аренды).</w:t>
      </w:r>
    </w:p>
    <w:p w:rsidR="005109DA" w:rsidRDefault="005109DA">
      <w:pPr>
        <w:spacing w:after="0"/>
        <w:ind w:left="-426" w:firstLine="426"/>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5.4.4. Аналитический учет прав пользования активами ведется по объектам, полученным в пользование, правам пользования нематериальными активами, идентификационным номерам объектов нефинансовых активов (учетным номерам, реестровым номерам, кадастровым номерам (при наличии) и по правообладателям (арендодателям) в разрезе договоров (иных правовых оснований прав пользования нематериальными активами), мест нахождения имущества, полученного в пользование, а также ответственных лиц.</w:t>
      </w:r>
    </w:p>
    <w:p w:rsidR="005109DA" w:rsidRDefault="00000000">
      <w:pPr>
        <w:spacing w:after="0" w:line="240" w:lineRule="auto"/>
        <w:ind w:left="-425" w:firstLine="425"/>
        <w:jc w:val="both"/>
        <w:rPr>
          <w:rFonts w:ascii="Times New Roman" w:hAnsi="Times New Roman"/>
          <w:sz w:val="26"/>
        </w:rPr>
      </w:pPr>
      <w:r>
        <w:rPr>
          <w:rFonts w:ascii="Times New Roman" w:hAnsi="Times New Roman"/>
          <w:sz w:val="26"/>
        </w:rPr>
        <w:t>Объект учета финансовой (неоперационной) аренды, принятый к бухгалтерскому учету, амортизируется в течение срока полезного использования объекта учета аренды методом, применяемым для амортизации аналогичных объектов основных средств.</w:t>
      </w:r>
    </w:p>
    <w:p w:rsidR="005109DA" w:rsidRDefault="00000000">
      <w:pPr>
        <w:pStyle w:val="ConsPlusNormal"/>
        <w:ind w:left="-425" w:firstLine="425"/>
        <w:contextualSpacing/>
        <w:jc w:val="both"/>
        <w:rPr>
          <w:rFonts w:ascii="Times New Roman" w:hAnsi="Times New Roman"/>
          <w:i/>
          <w:sz w:val="26"/>
        </w:rPr>
      </w:pPr>
      <w:r>
        <w:rPr>
          <w:rFonts w:ascii="Times New Roman" w:hAnsi="Times New Roman"/>
          <w:i/>
          <w:sz w:val="26"/>
        </w:rPr>
        <w:t>(Основание: п. 19 СГС "Аренда")</w:t>
      </w:r>
    </w:p>
    <w:p w:rsidR="005109DA" w:rsidRDefault="005109DA">
      <w:pPr>
        <w:spacing w:after="0"/>
        <w:jc w:val="both"/>
        <w:rPr>
          <w:rFonts w:ascii="Times New Roman" w:hAnsi="Times New Roman"/>
          <w:sz w:val="26"/>
        </w:rPr>
      </w:pPr>
    </w:p>
    <w:p w:rsidR="005109DA" w:rsidRDefault="00000000">
      <w:pPr>
        <w:spacing w:before="260" w:after="0"/>
        <w:ind w:left="-426" w:firstLine="426"/>
        <w:jc w:val="both"/>
        <w:rPr>
          <w:rFonts w:ascii="Times New Roman" w:hAnsi="Times New Roman"/>
          <w:sz w:val="26"/>
        </w:rPr>
      </w:pPr>
      <w:r>
        <w:rPr>
          <w:rFonts w:ascii="Times New Roman" w:hAnsi="Times New Roman"/>
          <w:sz w:val="26"/>
        </w:rPr>
        <w:t>5.4.5. При получении объектов учета в операционную аренду в бухгалтерском учете право пользования активом отражается на коде вида финансового обеспечения, по которому в дальнейшем будет осуществляться содержание этого актива.</w:t>
      </w:r>
    </w:p>
    <w:p w:rsidR="005109DA" w:rsidRDefault="005109DA">
      <w:pPr>
        <w:pStyle w:val="ConsPlusNormal"/>
        <w:ind w:left="-426" w:firstLine="426"/>
        <w:contextualSpacing/>
        <w:jc w:val="center"/>
        <w:rPr>
          <w:rFonts w:ascii="Times New Roman" w:hAnsi="Times New Roman"/>
          <w:b/>
          <w:sz w:val="26"/>
        </w:rPr>
      </w:pPr>
    </w:p>
    <w:p w:rsidR="005109DA" w:rsidRDefault="00000000">
      <w:pPr>
        <w:pStyle w:val="ConsPlusNormal"/>
        <w:ind w:left="-426" w:firstLine="426"/>
        <w:contextualSpacing/>
        <w:jc w:val="center"/>
        <w:rPr>
          <w:rFonts w:ascii="Times New Roman" w:hAnsi="Times New Roman"/>
          <w:sz w:val="26"/>
        </w:rPr>
      </w:pPr>
      <w:r>
        <w:rPr>
          <w:rFonts w:ascii="Times New Roman" w:hAnsi="Times New Roman"/>
          <w:b/>
          <w:sz w:val="26"/>
        </w:rPr>
        <w:t xml:space="preserve">5.5. </w:t>
      </w:r>
      <w:bookmarkStart w:id="7" w:name="_Hlk119680900"/>
      <w:r>
        <w:rPr>
          <w:rFonts w:ascii="Times New Roman" w:hAnsi="Times New Roman"/>
          <w:b/>
          <w:sz w:val="26"/>
        </w:rPr>
        <w:t>Непроизведенны</w:t>
      </w:r>
      <w:bookmarkEnd w:id="7"/>
      <w:r>
        <w:rPr>
          <w:rFonts w:ascii="Times New Roman" w:hAnsi="Times New Roman"/>
          <w:b/>
          <w:sz w:val="26"/>
        </w:rPr>
        <w:t>е активы</w:t>
      </w:r>
    </w:p>
    <w:p w:rsidR="005109DA" w:rsidRDefault="005109DA">
      <w:pPr>
        <w:pStyle w:val="ConsPlusNormal"/>
        <w:ind w:left="-426" w:firstLine="426"/>
        <w:contextualSpacing/>
        <w:jc w:val="both"/>
        <w:rPr>
          <w:rFonts w:ascii="Times New Roman" w:hAnsi="Times New Roman"/>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5.5.1. Непроизведенными активами признаются объекты сведения, о которых внесены в Единый государственный реестр недвижимости.</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5.5.2.</w:t>
      </w:r>
      <w:r>
        <w:t xml:space="preserve"> </w:t>
      </w:r>
      <w:r>
        <w:rPr>
          <w:rFonts w:ascii="Times New Roman" w:hAnsi="Times New Roman"/>
          <w:sz w:val="26"/>
        </w:rPr>
        <w:t xml:space="preserve">Непроизведенные активы подлежат признанию в бухгалтерском учете при условии, получения от его использования экономических выгод или полезного потенциала и первоначальную стоимость можно достоверно оценить. </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spacing w:after="0"/>
        <w:ind w:left="-426" w:firstLine="426"/>
        <w:jc w:val="both"/>
        <w:rPr>
          <w:rFonts w:ascii="Times New Roman" w:hAnsi="Times New Roman"/>
          <w:color w:val="222222"/>
          <w:sz w:val="26"/>
        </w:rPr>
      </w:pPr>
      <w:r>
        <w:rPr>
          <w:rFonts w:ascii="Times New Roman" w:hAnsi="Times New Roman"/>
          <w:sz w:val="26"/>
        </w:rPr>
        <w:t xml:space="preserve">5.5.3. </w:t>
      </w:r>
      <w:r>
        <w:rPr>
          <w:rFonts w:ascii="Times New Roman" w:hAnsi="Times New Roman"/>
          <w:color w:val="222222"/>
          <w:sz w:val="26"/>
        </w:rPr>
        <w:t>Справедливая стоимость земельного участка, впервые вовлекаемого                            в хозяйственный оборот, на который не разграничена государственная собственность    и который не внесен в ЕГРН, рассчитывается на основе кадастровой стоимости аналогичного земельного участка, который внесен в ЕГРН и учитывается на забалансовом счете 02 «Материальные ценности на хранении».</w:t>
      </w:r>
    </w:p>
    <w:p w:rsidR="005109DA" w:rsidRDefault="00000000">
      <w:pPr>
        <w:spacing w:after="0"/>
        <w:ind w:left="-426" w:firstLine="426"/>
        <w:jc w:val="both"/>
        <w:rPr>
          <w:rFonts w:ascii="Times New Roman" w:hAnsi="Times New Roman"/>
          <w:i/>
          <w:color w:val="222222"/>
          <w:sz w:val="26"/>
        </w:rPr>
      </w:pPr>
      <w:r>
        <w:rPr>
          <w:rFonts w:ascii="Times New Roman" w:hAnsi="Times New Roman"/>
          <w:i/>
          <w:sz w:val="26"/>
        </w:rPr>
        <w:t>(Основание: </w:t>
      </w:r>
      <w:hyperlink r:id="rId46" w:tooltip="17. Справедливой стоимостью земельных участков, впервые вовлекаемых в хозяйственный оборот, является:" w:history="1">
        <w:r>
          <w:rPr>
            <w:rFonts w:ascii="Times New Roman" w:hAnsi="Times New Roman"/>
            <w:i/>
            <w:sz w:val="26"/>
          </w:rPr>
          <w:t>п. 17</w:t>
        </w:r>
      </w:hyperlink>
      <w:r>
        <w:rPr>
          <w:rFonts w:ascii="Times New Roman" w:hAnsi="Times New Roman"/>
          <w:i/>
          <w:sz w:val="26"/>
        </w:rPr>
        <w:t> СГС «Непроизведенные активы</w:t>
      </w:r>
      <w:r>
        <w:rPr>
          <w:rFonts w:ascii="Times New Roman" w:hAnsi="Times New Roman"/>
          <w:i/>
          <w:color w:val="222222"/>
          <w:sz w:val="26"/>
        </w:rPr>
        <w:t>»)</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5.5.4. Учет земельных участков, закрепленных на праве постоянного (бессрочного) пользования, в том числе расположенные под объектами недвижимости, ведется                      по кадастровой стоимости, отраженной в передаточных документах.</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5.5.5. Каждому инвентарному объекту непроизведенных активов в момент принятия к бухгалтерскому учету присваивается инвентарный номер. Инвентарный номер объекта непроизведенных активов состоит из 13 знаков:</w:t>
      </w: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1-й знак - код вида финансового обеспечения (деятельности);</w:t>
      </w: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2 - 6-й знаки - код счета бюджетного учета;</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7 - 13-й знаки - порядковый номер объекта.</w:t>
      </w:r>
    </w:p>
    <w:p w:rsidR="005109DA" w:rsidRDefault="00000000">
      <w:pPr>
        <w:widowControl w:val="0"/>
        <w:spacing w:before="220" w:after="0"/>
        <w:ind w:left="-426" w:firstLine="426"/>
        <w:contextualSpacing/>
        <w:jc w:val="both"/>
        <w:rPr>
          <w:rFonts w:ascii="Times New Roman" w:hAnsi="Times New Roman"/>
          <w:i/>
          <w:sz w:val="26"/>
        </w:rPr>
      </w:pPr>
      <w:r>
        <w:rPr>
          <w:rFonts w:ascii="Times New Roman" w:hAnsi="Times New Roman"/>
          <w:i/>
          <w:sz w:val="26"/>
        </w:rPr>
        <w:t>(Основание: п.81 Инструкции № 157н)</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5.5.6. Аналитический учет вложений в непроизведенные активы ведется                                в многографной карточке (ф. 0504054).</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п. 128 Инструкции № 157н)</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5.5.7. Проверка актуальности кадастровой стоимости земельного участка, по которой он отражен в бухгалтерском учете, осуществляется ежегодно, перед составлением годовой отчетности.</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5.5.8. Непроизведенные активы амортизации не подлежат.</w:t>
      </w:r>
    </w:p>
    <w:p w:rsidR="005109DA" w:rsidRDefault="00000000">
      <w:pPr>
        <w:pStyle w:val="ConsPlusNormal"/>
        <w:ind w:left="-426" w:firstLine="426"/>
        <w:contextualSpacing/>
        <w:jc w:val="both"/>
        <w:rPr>
          <w:rFonts w:ascii="Times New Roman" w:hAnsi="Times New Roman"/>
          <w:i/>
          <w:sz w:val="26"/>
        </w:rPr>
      </w:pPr>
      <w:r>
        <w:rPr>
          <w:rFonts w:ascii="Times New Roman" w:hAnsi="Times New Roman"/>
          <w:i/>
          <w:sz w:val="26"/>
        </w:rPr>
        <w:t>(Основание: п.40 СГС "Непроизведенные активы")</w:t>
      </w:r>
    </w:p>
    <w:p w:rsidR="005109DA" w:rsidRDefault="005109DA">
      <w:pPr>
        <w:pStyle w:val="ConsPlusNormal"/>
        <w:ind w:left="-426" w:firstLine="426"/>
        <w:contextualSpacing/>
        <w:jc w:val="both"/>
        <w:rPr>
          <w:rFonts w:ascii="Times New Roman" w:hAnsi="Times New Roman"/>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5.5.9. Признание объекта непроизведенных активов в качестве актива прекращается в случае прекращения имущественных прав по основаниям, предусмотренным законодательством Российской Федерации, в том числе при безвозмездной передаче или передаче другой организации бюджетной сферы.</w:t>
      </w:r>
    </w:p>
    <w:p w:rsidR="005109DA" w:rsidRDefault="00000000">
      <w:pPr>
        <w:pStyle w:val="ConsPlusNormal"/>
        <w:ind w:left="-426" w:firstLine="426"/>
        <w:contextualSpacing/>
        <w:jc w:val="both"/>
        <w:rPr>
          <w:rFonts w:ascii="Times New Roman" w:hAnsi="Times New Roman"/>
          <w:i/>
          <w:sz w:val="26"/>
        </w:rPr>
      </w:pPr>
      <w:r>
        <w:rPr>
          <w:rFonts w:ascii="Times New Roman" w:hAnsi="Times New Roman"/>
          <w:i/>
          <w:sz w:val="26"/>
        </w:rPr>
        <w:t>(Основание: п.п.44,45 СГС "Непроизведенные активы")</w:t>
      </w:r>
    </w:p>
    <w:p w:rsidR="005109DA" w:rsidRDefault="005109DA">
      <w:pPr>
        <w:pStyle w:val="ConsPlusNormal"/>
        <w:ind w:left="-426" w:firstLine="426"/>
        <w:contextualSpacing/>
        <w:jc w:val="both"/>
        <w:rPr>
          <w:rFonts w:ascii="Times New Roman" w:hAnsi="Times New Roman"/>
          <w:i/>
          <w:sz w:val="26"/>
        </w:rPr>
      </w:pPr>
    </w:p>
    <w:p w:rsidR="005109DA" w:rsidRDefault="005109DA">
      <w:pPr>
        <w:pStyle w:val="ConsPlusNormal"/>
        <w:ind w:left="-426" w:firstLine="426"/>
        <w:contextualSpacing/>
        <w:jc w:val="both"/>
        <w:rPr>
          <w:rFonts w:ascii="Times New Roman" w:hAnsi="Times New Roman"/>
          <w:i/>
          <w:sz w:val="26"/>
        </w:rPr>
      </w:pPr>
    </w:p>
    <w:p w:rsidR="005109DA" w:rsidRDefault="00000000">
      <w:pPr>
        <w:pStyle w:val="ConsPlusNormal"/>
        <w:ind w:left="-426" w:firstLine="426"/>
        <w:contextualSpacing/>
        <w:jc w:val="center"/>
        <w:rPr>
          <w:rFonts w:ascii="Times New Roman" w:hAnsi="Times New Roman"/>
          <w:sz w:val="26"/>
        </w:rPr>
      </w:pPr>
      <w:r>
        <w:rPr>
          <w:rFonts w:ascii="Times New Roman" w:hAnsi="Times New Roman"/>
          <w:b/>
          <w:sz w:val="26"/>
        </w:rPr>
        <w:t>5.6. Учет материальных запасов</w:t>
      </w:r>
    </w:p>
    <w:p w:rsidR="005109DA" w:rsidRDefault="005109DA">
      <w:pPr>
        <w:pStyle w:val="ConsPlusNormal"/>
        <w:ind w:left="-426" w:firstLine="426"/>
        <w:contextualSpacing/>
        <w:jc w:val="both"/>
        <w:rPr>
          <w:rFonts w:ascii="Times New Roman" w:hAnsi="Times New Roman"/>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5.6.1.</w:t>
      </w:r>
      <w:r>
        <w:t xml:space="preserve"> </w:t>
      </w:r>
      <w:bookmarkStart w:id="8" w:name="_Hlk119918087"/>
      <w:r>
        <w:rPr>
          <w:rFonts w:ascii="Times New Roman" w:hAnsi="Times New Roman"/>
          <w:sz w:val="26"/>
        </w:rPr>
        <w:t>К материальным запасам относятся предметы, используемые в деятельности субъекта централизованного учета в течение периода, не превышающего 12 месяцев, независимо от их стоимости, а также материальные ценности, приобретенные (созданные) для использования в процессе деятельности субъекта централизованного учета.</w:t>
      </w:r>
    </w:p>
    <w:p w:rsidR="005109DA" w:rsidRDefault="005109DA">
      <w:pPr>
        <w:pStyle w:val="ConsPlusNormal"/>
        <w:spacing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5.6.2.  В составе материальных запасов учитываются материальные объекты, указанные в п. п. 98,99 Инструкции №157н, а также производственный                                      и хозяйственный инвентарь, перечень которого приведен в Приложении №6 единой учетной политики.</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5.6.3. Канцелярские принадлежности (карманный калькулятор, дырокол, степлер, антистеплер и т.п.) стоимостью до 1 000,00 руб. признаются материальными запасами.</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sz w:val="26"/>
        </w:rPr>
        <w:t xml:space="preserve"> (</w:t>
      </w:r>
      <w:r>
        <w:rPr>
          <w:rFonts w:ascii="Times New Roman" w:hAnsi="Times New Roman"/>
          <w:i/>
          <w:sz w:val="26"/>
        </w:rPr>
        <w:t>Основание: п. п. 7, 10 СГС "Запасы", п. п. п. 98, 99, 118 Инструкции № 157н,                 п. 9 СГС "Учетная политика")</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5.6.4. Единицей централизованного учета материальных запасов является номенклатурная (реестровая) единица и однородная (реестровая) группа запаса.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Номенклатурная (реестровая) единица используется, для ведения раздельного аналитического учета материальных запасов, выпущенные разными производителями, имеющие разные торговые марки, размеры, сорт.</w:t>
      </w: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По номенклатурной (реестровой) единице учитываются:</w:t>
      </w:r>
    </w:p>
    <w:p w:rsidR="005109DA" w:rsidRDefault="00000000">
      <w:pPr>
        <w:pStyle w:val="a3"/>
        <w:widowControl w:val="0"/>
        <w:numPr>
          <w:ilvl w:val="0"/>
          <w:numId w:val="20"/>
        </w:numPr>
        <w:spacing w:after="0"/>
        <w:jc w:val="both"/>
        <w:rPr>
          <w:rFonts w:ascii="Times New Roman" w:hAnsi="Times New Roman"/>
          <w:sz w:val="26"/>
        </w:rPr>
      </w:pPr>
      <w:r>
        <w:rPr>
          <w:rFonts w:ascii="Times New Roman" w:hAnsi="Times New Roman"/>
          <w:sz w:val="26"/>
        </w:rPr>
        <w:t>медикаменты и лекарственные средства;</w:t>
      </w:r>
    </w:p>
    <w:p w:rsidR="005109DA" w:rsidRDefault="00000000">
      <w:pPr>
        <w:pStyle w:val="a3"/>
        <w:widowControl w:val="0"/>
        <w:numPr>
          <w:ilvl w:val="0"/>
          <w:numId w:val="20"/>
        </w:numPr>
        <w:spacing w:before="220" w:after="0"/>
        <w:jc w:val="both"/>
        <w:rPr>
          <w:rFonts w:ascii="Times New Roman" w:hAnsi="Times New Roman"/>
          <w:sz w:val="26"/>
        </w:rPr>
      </w:pPr>
      <w:r>
        <w:rPr>
          <w:rFonts w:ascii="Times New Roman" w:hAnsi="Times New Roman"/>
          <w:sz w:val="26"/>
        </w:rPr>
        <w:t>продукты питания;</w:t>
      </w:r>
    </w:p>
    <w:p w:rsidR="005109DA" w:rsidRDefault="00000000">
      <w:pPr>
        <w:pStyle w:val="a3"/>
        <w:widowControl w:val="0"/>
        <w:numPr>
          <w:ilvl w:val="0"/>
          <w:numId w:val="20"/>
        </w:numPr>
        <w:spacing w:before="220" w:after="0"/>
        <w:jc w:val="both"/>
        <w:rPr>
          <w:rFonts w:ascii="Times New Roman" w:hAnsi="Times New Roman"/>
          <w:sz w:val="26"/>
        </w:rPr>
      </w:pPr>
      <w:r>
        <w:rPr>
          <w:rFonts w:ascii="Times New Roman" w:hAnsi="Times New Roman"/>
          <w:sz w:val="26"/>
        </w:rPr>
        <w:t xml:space="preserve">горюче-смазочные  материалы; </w:t>
      </w:r>
    </w:p>
    <w:p w:rsidR="005109DA" w:rsidRDefault="00000000">
      <w:pPr>
        <w:pStyle w:val="a3"/>
        <w:widowControl w:val="0"/>
        <w:numPr>
          <w:ilvl w:val="0"/>
          <w:numId w:val="20"/>
        </w:numPr>
        <w:spacing w:before="220" w:after="0"/>
        <w:jc w:val="both"/>
        <w:rPr>
          <w:rFonts w:ascii="Times New Roman" w:hAnsi="Times New Roman"/>
          <w:sz w:val="26"/>
        </w:rPr>
      </w:pPr>
      <w:r>
        <w:rPr>
          <w:rFonts w:ascii="Times New Roman" w:hAnsi="Times New Roman"/>
          <w:sz w:val="26"/>
        </w:rPr>
        <w:t xml:space="preserve">строительные материалы; </w:t>
      </w:r>
    </w:p>
    <w:p w:rsidR="005109DA" w:rsidRDefault="00000000">
      <w:pPr>
        <w:pStyle w:val="a3"/>
        <w:widowControl w:val="0"/>
        <w:numPr>
          <w:ilvl w:val="0"/>
          <w:numId w:val="20"/>
        </w:numPr>
        <w:spacing w:before="220" w:after="0"/>
        <w:jc w:val="both"/>
        <w:rPr>
          <w:rFonts w:ascii="Times New Roman" w:hAnsi="Times New Roman"/>
          <w:sz w:val="26"/>
        </w:rPr>
      </w:pPr>
      <w:r>
        <w:rPr>
          <w:rFonts w:ascii="Times New Roman" w:hAnsi="Times New Roman"/>
          <w:sz w:val="26"/>
        </w:rPr>
        <w:t xml:space="preserve">картриджи; </w:t>
      </w:r>
    </w:p>
    <w:p w:rsidR="005109DA" w:rsidRDefault="00000000">
      <w:pPr>
        <w:pStyle w:val="a3"/>
        <w:widowControl w:val="0"/>
        <w:numPr>
          <w:ilvl w:val="0"/>
          <w:numId w:val="20"/>
        </w:numPr>
        <w:spacing w:before="220" w:after="0"/>
        <w:jc w:val="both"/>
        <w:rPr>
          <w:rFonts w:ascii="Times New Roman" w:hAnsi="Times New Roman"/>
          <w:sz w:val="26"/>
        </w:rPr>
      </w:pPr>
      <w:r>
        <w:rPr>
          <w:rFonts w:ascii="Times New Roman" w:hAnsi="Times New Roman"/>
          <w:sz w:val="26"/>
        </w:rPr>
        <w:t>средства индивидуальной защиты.</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В однородную группу включаются схожие объекты, которые используются для одной цели, т.е. материалы одного вида, идентичные по характеристикам.</w:t>
      </w: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По однородной (реестровой) группе учитываются:</w:t>
      </w:r>
    </w:p>
    <w:p w:rsidR="005109DA" w:rsidRDefault="00000000">
      <w:pPr>
        <w:pStyle w:val="a3"/>
        <w:widowControl w:val="0"/>
        <w:numPr>
          <w:ilvl w:val="0"/>
          <w:numId w:val="21"/>
        </w:numPr>
        <w:spacing w:after="0"/>
        <w:jc w:val="both"/>
        <w:rPr>
          <w:rFonts w:ascii="Times New Roman" w:hAnsi="Times New Roman"/>
          <w:sz w:val="26"/>
        </w:rPr>
      </w:pPr>
      <w:r>
        <w:rPr>
          <w:rFonts w:ascii="Times New Roman" w:hAnsi="Times New Roman"/>
          <w:sz w:val="26"/>
        </w:rPr>
        <w:t xml:space="preserve">канцелярские товары; </w:t>
      </w:r>
    </w:p>
    <w:p w:rsidR="005109DA" w:rsidRDefault="00000000">
      <w:pPr>
        <w:pStyle w:val="a3"/>
        <w:widowControl w:val="0"/>
        <w:numPr>
          <w:ilvl w:val="0"/>
          <w:numId w:val="21"/>
        </w:numPr>
        <w:spacing w:before="220" w:after="0"/>
        <w:jc w:val="both"/>
        <w:rPr>
          <w:rFonts w:ascii="Times New Roman" w:hAnsi="Times New Roman"/>
          <w:sz w:val="26"/>
        </w:rPr>
      </w:pPr>
      <w:r>
        <w:rPr>
          <w:rFonts w:ascii="Times New Roman" w:hAnsi="Times New Roman"/>
          <w:sz w:val="26"/>
        </w:rPr>
        <w:t>игрушки;</w:t>
      </w:r>
    </w:p>
    <w:p w:rsidR="005109DA" w:rsidRDefault="00000000">
      <w:pPr>
        <w:pStyle w:val="a3"/>
        <w:widowControl w:val="0"/>
        <w:numPr>
          <w:ilvl w:val="0"/>
          <w:numId w:val="21"/>
        </w:numPr>
        <w:spacing w:before="220" w:after="0"/>
        <w:jc w:val="both"/>
        <w:rPr>
          <w:rFonts w:ascii="Times New Roman" w:hAnsi="Times New Roman"/>
          <w:sz w:val="26"/>
        </w:rPr>
      </w:pPr>
      <w:r>
        <w:rPr>
          <w:rFonts w:ascii="Times New Roman" w:hAnsi="Times New Roman"/>
          <w:sz w:val="26"/>
        </w:rPr>
        <w:t xml:space="preserve">хозяйственный материал; </w:t>
      </w:r>
    </w:p>
    <w:p w:rsidR="005109DA" w:rsidRDefault="00000000">
      <w:pPr>
        <w:pStyle w:val="a3"/>
        <w:widowControl w:val="0"/>
        <w:numPr>
          <w:ilvl w:val="0"/>
          <w:numId w:val="21"/>
        </w:numPr>
        <w:spacing w:before="220" w:after="0"/>
        <w:jc w:val="both"/>
        <w:rPr>
          <w:rFonts w:ascii="Times New Roman" w:hAnsi="Times New Roman"/>
          <w:sz w:val="26"/>
        </w:rPr>
      </w:pPr>
      <w:r>
        <w:rPr>
          <w:rFonts w:ascii="Times New Roman" w:hAnsi="Times New Roman"/>
          <w:sz w:val="26"/>
        </w:rPr>
        <w:t>посуда;</w:t>
      </w:r>
    </w:p>
    <w:p w:rsidR="005109DA" w:rsidRDefault="00000000">
      <w:pPr>
        <w:pStyle w:val="a3"/>
        <w:widowControl w:val="0"/>
        <w:numPr>
          <w:ilvl w:val="0"/>
          <w:numId w:val="21"/>
        </w:numPr>
        <w:spacing w:before="220" w:after="0"/>
        <w:jc w:val="both"/>
        <w:rPr>
          <w:rFonts w:ascii="Times New Roman" w:hAnsi="Times New Roman"/>
          <w:sz w:val="26"/>
        </w:rPr>
      </w:pPr>
      <w:r>
        <w:rPr>
          <w:rFonts w:ascii="Times New Roman" w:hAnsi="Times New Roman"/>
          <w:sz w:val="26"/>
        </w:rPr>
        <w:t xml:space="preserve">мягкий инвентарь.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При ведении учета по однородной (реестровой) группе ответственное лицо субъекта централизованного учета обеспечивает аналитический учет запасов, обеспечивающий надлежащий контроль за их сохранностью и движением.</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Решение о применении единицы учета в отношении материальных запасов, характеристики которых совпадают, принимает бухгалтер на основе своего профессионального суждения.</w:t>
      </w:r>
    </w:p>
    <w:p w:rsidR="005109DA" w:rsidRDefault="00000000">
      <w:pPr>
        <w:widowControl w:val="0"/>
        <w:spacing w:before="220" w:after="0"/>
        <w:ind w:left="-426" w:firstLine="426"/>
        <w:contextualSpacing/>
        <w:jc w:val="both"/>
        <w:rPr>
          <w:rFonts w:ascii="Times New Roman" w:hAnsi="Times New Roman"/>
          <w:i/>
          <w:sz w:val="26"/>
        </w:rPr>
      </w:pPr>
      <w:r>
        <w:rPr>
          <w:rFonts w:ascii="Times New Roman" w:hAnsi="Times New Roman"/>
          <w:i/>
          <w:sz w:val="26"/>
        </w:rPr>
        <w:t xml:space="preserve">   (Основание: п. 101 Инструкции № 157н, п. 8 СГС "Запасы")</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5.6.5. Принятие к бухгалтерскому учету активов  ведется группами                                            по  совокупности со сходными характеристиками:</w:t>
      </w:r>
    </w:p>
    <w:p w:rsidR="005109DA" w:rsidRDefault="00000000">
      <w:pPr>
        <w:pStyle w:val="a3"/>
        <w:widowControl w:val="0"/>
        <w:numPr>
          <w:ilvl w:val="0"/>
          <w:numId w:val="22"/>
        </w:numPr>
        <w:spacing w:after="0"/>
        <w:jc w:val="both"/>
        <w:rPr>
          <w:rFonts w:ascii="Times New Roman" w:hAnsi="Times New Roman"/>
          <w:sz w:val="26"/>
        </w:rPr>
      </w:pPr>
      <w:r>
        <w:rPr>
          <w:rFonts w:ascii="Times New Roman" w:hAnsi="Times New Roman"/>
          <w:sz w:val="26"/>
        </w:rPr>
        <w:t>материалы,  используемые в текущей деятельности субъекта учета в течение периода, не превышающего 12 месяцев, независимо от их стоимости, 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rsidR="005109DA" w:rsidRDefault="00000000">
      <w:pPr>
        <w:pStyle w:val="a3"/>
        <w:widowControl w:val="0"/>
        <w:numPr>
          <w:ilvl w:val="0"/>
          <w:numId w:val="22"/>
        </w:numPr>
        <w:spacing w:before="220" w:after="0"/>
        <w:jc w:val="both"/>
        <w:rPr>
          <w:rFonts w:ascii="Times New Roman" w:hAnsi="Times New Roman"/>
          <w:sz w:val="26"/>
        </w:rPr>
      </w:pPr>
      <w:r>
        <w:rPr>
          <w:rFonts w:ascii="Times New Roman" w:hAnsi="Times New Roman"/>
          <w:sz w:val="26"/>
        </w:rPr>
        <w:t>иные материальные запасы, в том числе материалы, используемые в течение периода, превышающего 12 месяцев, учитываются по решению Комиссии,                с учетом срока полезного использования.</w:t>
      </w:r>
      <w:bookmarkEnd w:id="8"/>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5.6.6. Если в первичных документах поставщика единицы измерения отличаются от тех, которые использует субъект централизованного учета, работник субъекта централизованного учета оформляет</w:t>
      </w:r>
      <w:r>
        <w:t xml:space="preserve"> </w:t>
      </w:r>
      <w:r>
        <w:rPr>
          <w:rFonts w:ascii="Times New Roman" w:hAnsi="Times New Roman"/>
          <w:sz w:val="26"/>
        </w:rPr>
        <w:t xml:space="preserve">Акт перевода единицы измерения ТМЦ                               в соответствующие потребностям учреждения (далее Акт).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Акт прикладывается к первичным документам поставщика.</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п. 8 СГС «Запасы»)</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5.6.7. Списание материальных запасов осуществляется  по средней фактической стоимости.</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п. 42 СГС "Запасы", </w:t>
      </w:r>
      <w:hyperlink r:id="rId47" w:history="1">
        <w:r>
          <w:rPr>
            <w:rFonts w:ascii="Times New Roman" w:hAnsi="Times New Roman"/>
            <w:i/>
            <w:sz w:val="26"/>
          </w:rPr>
          <w:t>п. 46</w:t>
        </w:r>
      </w:hyperlink>
      <w:r>
        <w:rPr>
          <w:rFonts w:ascii="Times New Roman" w:hAnsi="Times New Roman"/>
          <w:i/>
          <w:sz w:val="26"/>
        </w:rPr>
        <w:t xml:space="preserve"> СГС "Концептуальные основы", </w:t>
      </w:r>
      <w:hyperlink r:id="rId48" w:history="1">
        <w:r>
          <w:rPr>
            <w:rFonts w:ascii="Times New Roman" w:hAnsi="Times New Roman"/>
            <w:i/>
            <w:sz w:val="26"/>
          </w:rPr>
          <w:t>п. 108</w:t>
        </w:r>
      </w:hyperlink>
      <w:r>
        <w:rPr>
          <w:rFonts w:ascii="Times New Roman" w:hAnsi="Times New Roman"/>
          <w:i/>
          <w:sz w:val="26"/>
        </w:rPr>
        <w:t xml:space="preserve"> Инструкции № 157н)</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5.6.8. Выдача в эксплуатацию материальных запасов производится на основании ведомости выдачи материальных запасов на нужды учреждения (ф.0504210).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Ведомость выдачи материальных запасов на нужды учреждения (ф.0504210) составляется отдельно по каждому коду финансового обеспечения.</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Списание с бухгалтерского учета осуществляется в соответствии с актом                             о списании материальных запасов (ф. 0510460).</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5.6.9. Признание материальных запасов в качестве активов прекращается в случае их использования в деятельности субъекта централизованного учета, принятия решения о списании, прекращения получения экономических выгод или полезного потенциала от дальнейшего использования, при комплектовании основных средств, передачи другой организации бюджетной сферы.</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 п. 34, 35 СГС "Запасы")</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5.6.10.  Для списания с бухгалтерского учета материальных запасов направленных     на  комплектование основного средства оформляется акт комплектации, акт о списании материальных запасов (ф. 0510460).</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 (Основание: п. 34 Инструкции № 157н).</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5.6.11.  При реклассификации  материальных запасов выбытие из одной группы активов и отражение их в другой группе активов отражается одновременно без изменения стоимости.</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 27 СГС «Запасы»)</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5.6.12. Разукомплектация материальных запасов осуществляется на основании решения Комиссии</w:t>
      </w:r>
      <w:r>
        <w:t xml:space="preserve"> </w:t>
      </w:r>
      <w:r>
        <w:rPr>
          <w:rFonts w:ascii="Times New Roman" w:hAnsi="Times New Roman"/>
          <w:sz w:val="26"/>
        </w:rPr>
        <w:t xml:space="preserve">субъекта централизованного учета.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 Отражение в бухгалтерском учете  разукомплектованных частей производится по стоимости указанной в отгрузочных документах поставщика, а в случае ее отсутствия по справедливой стоимости определенной Комиссией. </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 п. п. 6, 27, 34 Инструкции № 157н, п. п. 34, 37 Инструкции № 174н,    п.9 СГС «Учетная политика», п.25 СГС "Концептуальные основы")</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5.6.13. При приобретении материальных запасов за счет средств, полученных по разным кодам вида деятельности, сумма вложений переводится через Х 304 06 000 на код вида деятельности «4».</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5.6.14 Расходы на ремонт хозяйственным способом финансируются из средств субсидий на выполнение государственного (муниципального) задания, средств                                от приносящей доход деятельности и отражаются в общем порядке в соответствии           с Инструкцией №174н.</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Расходы на проведение ремонта относят на подстатьи Кода ОСГУ в зависимости                              от экономического содержания затрат.</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Необходимость проведения текущего ремонта хозяйственным способом определяет Комиссия путем составления дефектной ведомости, подтверждающей правомерность списания затрат на ремонт, выполненного своими силами.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На основании дефектной ведомости ответственное лицо субъекта централизованного учета составляет заявку-обоснование закупки товаров, работ, услуг малого объема (ф.0510521).</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Руководитель субъекта централизованного учета приказом устанавливает сроки проведения текущего ремонта хозяйственным способом и назначает лицо, ответственное за проведение работ.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Завершение ремонта оформляется актом приемки выполненных работ.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Списание материалов, израсходованных в процессе ремонта, отражается                             в  акте о списании материальных запасов (ф. 0510460).</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5.6.15. Материальные запасы, по которым установленный срок эксплуатации (годности) истек, подлежат инвентаризации и списанию на основании решения                             о прекращении признания активами объектов нефинансовых активов (ф. 0510440), вынесенного Комиссией.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Материальные запасы, с истекшим сроком эксплуатации (годности) подлежат уничтожению с соблюдением всех требований, установленных законодательством.</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Уничтожение материальных запасов с истекшим сроком годности оформляется актом об утилизации (уничтожении) материальных ценностей (ф. 0510435).</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Медикаменты и лекарственные средства с истекшим сроком годности подлежат уничтожению, путем передачи лекарств в организацию, имеющую соответствующую лицензию, которая произведет их последующее уничтожение.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Расходы на оплату услуг специализированной организации по уничтожению материальных запасов относятся на финансовый результат текущего финансового года по Дебету счета 0 401 20 22Х.</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Списание медикаментов и лекарственных средств с бухгалтерского учета осуществляется на основании акта специализированной организации.</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5.6.17 Списание материальных запасов по истечении срока годности, срока эксплуатации, отбора проб пищевой продукции отражается                                                            по Дебету счета 0 401 10 172  Кредиту счета 0 105 ХХ 44Х.</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Списание продуктов питания в пределах норм естественной убыли, а также пришедших в негодность предметов мягкого инвентаря и посуды отражается                              по Дебету счета 0 401 20 272 Кредиту счета 0 105 3Х 44Х.</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Списание материальных запасов, пришедших в негодность, при обстоятельствах, являющихся чрезвычайными, отражается по Дебету счета 0 401 20 273                                 Кредиту счета 0 105 3Х 44Х.</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spacing w:after="0"/>
        <w:ind w:left="-426" w:firstLine="426"/>
        <w:jc w:val="both"/>
        <w:rPr>
          <w:rFonts w:ascii="Times New Roman" w:hAnsi="Times New Roman"/>
          <w:sz w:val="26"/>
        </w:rPr>
      </w:pPr>
      <w:bookmarkStart w:id="9" w:name="_Hlk120712392"/>
      <w:r>
        <w:rPr>
          <w:rFonts w:ascii="Times New Roman" w:hAnsi="Times New Roman"/>
          <w:sz w:val="26"/>
        </w:rPr>
        <w:t xml:space="preserve">5.6.18. При утилизации, уничтожении материальных запасов формируется акт                         об утилизации (уничтожении) материальных ценностей </w:t>
      </w:r>
      <w:hyperlink r:id="rId49" w:history="1">
        <w:r>
          <w:rPr>
            <w:rFonts w:ascii="Times New Roman" w:hAnsi="Times New Roman"/>
            <w:sz w:val="26"/>
          </w:rPr>
          <w:t>(ф. 0510435)</w:t>
        </w:r>
      </w:hyperlink>
      <w:r>
        <w:rPr>
          <w:rFonts w:ascii="Times New Roman" w:hAnsi="Times New Roman"/>
          <w:sz w:val="26"/>
        </w:rPr>
        <w:t>.</w:t>
      </w:r>
      <w:bookmarkEnd w:id="9"/>
    </w:p>
    <w:p w:rsidR="005109DA" w:rsidRDefault="005109DA">
      <w:pPr>
        <w:spacing w:after="0"/>
        <w:ind w:left="-426" w:firstLine="426"/>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5.6.19. Фактическая стоимость материалов, остающихся у субъекта централизованного учета в результате разборки, ликвидации (утилизации) основных средств или иного имущества, определяется исходя из текущей оценочной стоимости на дату принятия к бухгалтерскому учету. При этом расходы субъекта централизованного учета, связанные с демонтажем (разборкой), ликвидацией (утилизацией) имущества, в результате которых принимаются материалы, а также расходы по их транспортировке, сортировке, иные аналогичные расходы по приведению в состояние, пригодное для использования, относятся субъектом централизованного учета на расходы текущего периода и не учитываются при определении первоначальной стоимости материалов.</w:t>
      </w:r>
    </w:p>
    <w:p w:rsidR="005109DA" w:rsidRDefault="005109DA">
      <w:pPr>
        <w:spacing w:after="0"/>
        <w:ind w:left="-426" w:firstLine="426"/>
        <w:jc w:val="both"/>
        <w:rPr>
          <w:rFonts w:ascii="Times New Roman" w:hAnsi="Times New Roman"/>
          <w:sz w:val="26"/>
        </w:rPr>
      </w:pPr>
    </w:p>
    <w:p w:rsidR="005109DA" w:rsidRDefault="00000000">
      <w:pPr>
        <w:widowControl w:val="0"/>
        <w:spacing w:before="220" w:line="240" w:lineRule="auto"/>
        <w:ind w:left="-426" w:firstLine="426"/>
        <w:contextualSpacing/>
        <w:jc w:val="center"/>
        <w:rPr>
          <w:rFonts w:ascii="Times New Roman" w:hAnsi="Times New Roman"/>
          <w:b/>
          <w:sz w:val="26"/>
        </w:rPr>
      </w:pPr>
      <w:r>
        <w:rPr>
          <w:rFonts w:ascii="Times New Roman" w:hAnsi="Times New Roman"/>
          <w:b/>
          <w:sz w:val="26"/>
        </w:rPr>
        <w:t xml:space="preserve">Особенности  учета горюче-смазочных материалов  </w:t>
      </w:r>
    </w:p>
    <w:p w:rsidR="005109DA" w:rsidRDefault="005109DA">
      <w:pPr>
        <w:widowControl w:val="0"/>
        <w:spacing w:before="220"/>
        <w:ind w:left="-426" w:firstLine="426"/>
        <w:contextualSpacing/>
        <w:jc w:val="both"/>
        <w:rPr>
          <w:rFonts w:ascii="Times New Roman" w:hAnsi="Times New Roman"/>
          <w:i/>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5.6.20. Снабжение автомобильного транспорта горюче-смазочных материалов  проводится по топливным картам. Исключение составляют выезды в командировку на автомобиле учреждения, когда по пути следования отсутствуют АЗС с оплатой по топливным картам.</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5.6.21. Нормы на расходы горюче-смазочных материалов утверждаются приказом руководителя субъекта централизованного учета на основании Методических рекомендаций № АМ-23-р. </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5.6.22</w:t>
      </w:r>
      <w:r>
        <w:rPr>
          <w:rFonts w:ascii="Times New Roman" w:hAnsi="Times New Roman"/>
          <w:i/>
          <w:sz w:val="26"/>
        </w:rPr>
        <w:t xml:space="preserve">. </w:t>
      </w:r>
      <w:r>
        <w:rPr>
          <w:rFonts w:ascii="Times New Roman" w:hAnsi="Times New Roman"/>
          <w:sz w:val="26"/>
        </w:rPr>
        <w:t>Приказом руководителя субъекта учета утверждаются период применения зимней надбавки к нормам расхода горюче-смазочных материалов и ее величина.</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i/>
          <w:sz w:val="26"/>
        </w:rPr>
      </w:pPr>
      <w:r>
        <w:rPr>
          <w:rFonts w:ascii="Times New Roman" w:hAnsi="Times New Roman"/>
          <w:sz w:val="26"/>
        </w:rPr>
        <w:t>5.6.23.</w:t>
      </w:r>
      <w:r>
        <w:rPr>
          <w:rFonts w:ascii="Times New Roman" w:hAnsi="Times New Roman"/>
          <w:i/>
          <w:sz w:val="26"/>
        </w:rPr>
        <w:t xml:space="preserve">  </w:t>
      </w:r>
      <w:r>
        <w:rPr>
          <w:rFonts w:ascii="Times New Roman" w:hAnsi="Times New Roman"/>
          <w:sz w:val="26"/>
        </w:rPr>
        <w:t>Горюче-смазочные материалы списываются на расходы по фактическому расходу на основании путевых листов, но не выше норм, установленных приказом руководителя субъекта централизованного учета</w:t>
      </w:r>
      <w:r>
        <w:rPr>
          <w:rFonts w:ascii="Times New Roman" w:hAnsi="Times New Roman"/>
          <w:i/>
          <w:sz w:val="26"/>
        </w:rPr>
        <w:t>.</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Субъекты централизованного учета оформляют путевой лист на бумажном </w:t>
      </w:r>
      <w:r>
        <w:rPr>
          <w:rStyle w:val="15"/>
          <w:rFonts w:ascii="Times New Roman" w:hAnsi="Times New Roman"/>
          <w:sz w:val="26"/>
        </w:rPr>
        <w:t xml:space="preserve">носителе, в произвольной форме с указанием всех обязательных реквизитов. </w:t>
      </w:r>
    </w:p>
    <w:p w:rsidR="005109DA" w:rsidRDefault="005109DA">
      <w:pPr>
        <w:widowControl w:val="0"/>
        <w:spacing w:after="0"/>
        <w:ind w:left="-426" w:firstLine="426"/>
        <w:contextualSpacing/>
        <w:jc w:val="both"/>
        <w:rPr>
          <w:rFonts w:ascii="Times New Roman" w:hAnsi="Times New Roman"/>
          <w:sz w:val="26"/>
        </w:rPr>
      </w:pP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5.6.24 Списание горюче-смазочных материалов, израсходованных в процессе работы триммера, мотокосы и т.п. производится на основании следующих документов:</w:t>
      </w:r>
    </w:p>
    <w:p w:rsidR="005109DA" w:rsidRDefault="00000000">
      <w:pPr>
        <w:pStyle w:val="a3"/>
        <w:widowControl w:val="0"/>
        <w:numPr>
          <w:ilvl w:val="0"/>
          <w:numId w:val="23"/>
        </w:numPr>
        <w:spacing w:after="0"/>
        <w:jc w:val="both"/>
        <w:rPr>
          <w:rFonts w:ascii="Times New Roman" w:hAnsi="Times New Roman"/>
          <w:sz w:val="26"/>
        </w:rPr>
      </w:pPr>
      <w:r>
        <w:rPr>
          <w:rFonts w:ascii="Times New Roman" w:hAnsi="Times New Roman"/>
          <w:sz w:val="26"/>
        </w:rPr>
        <w:t>приказа руководителя об утверждении норм расхода горюче-смазочных материалов (техническая документация), с указанием состава комиссии по поступлению и выбытию активов;</w:t>
      </w:r>
    </w:p>
    <w:p w:rsidR="005109DA" w:rsidRDefault="00000000">
      <w:pPr>
        <w:pStyle w:val="a3"/>
        <w:widowControl w:val="0"/>
        <w:numPr>
          <w:ilvl w:val="0"/>
          <w:numId w:val="23"/>
        </w:numPr>
        <w:spacing w:before="220" w:after="0"/>
        <w:jc w:val="both"/>
        <w:rPr>
          <w:rFonts w:ascii="Times New Roman" w:hAnsi="Times New Roman"/>
          <w:sz w:val="26"/>
        </w:rPr>
      </w:pPr>
      <w:r>
        <w:rPr>
          <w:rFonts w:ascii="Times New Roman" w:hAnsi="Times New Roman"/>
          <w:sz w:val="26"/>
        </w:rPr>
        <w:t>при отсутствии норм расхода горюче-смазочных материалов в технической документации, на основании протокола Комиссии по определению норм расхода (мониторинг норм расхода, замера фактического расхода);</w:t>
      </w:r>
    </w:p>
    <w:p w:rsidR="005109DA" w:rsidRDefault="00000000">
      <w:pPr>
        <w:pStyle w:val="a3"/>
        <w:widowControl w:val="0"/>
        <w:numPr>
          <w:ilvl w:val="0"/>
          <w:numId w:val="23"/>
        </w:numPr>
        <w:spacing w:before="220" w:after="0"/>
        <w:jc w:val="both"/>
        <w:rPr>
          <w:rFonts w:ascii="Times New Roman" w:hAnsi="Times New Roman"/>
          <w:sz w:val="26"/>
        </w:rPr>
      </w:pPr>
      <w:r>
        <w:rPr>
          <w:rFonts w:ascii="Times New Roman" w:hAnsi="Times New Roman"/>
          <w:sz w:val="26"/>
        </w:rPr>
        <w:t>акт на списание материальных запасов (ф. 0510460).</w:t>
      </w:r>
    </w:p>
    <w:p w:rsidR="005109DA" w:rsidRDefault="00000000">
      <w:pPr>
        <w:widowControl w:val="0"/>
        <w:spacing w:before="220" w:after="0"/>
        <w:ind w:left="-426" w:firstLine="426"/>
        <w:contextualSpacing/>
        <w:jc w:val="center"/>
        <w:rPr>
          <w:rFonts w:ascii="Times New Roman" w:hAnsi="Times New Roman"/>
          <w:b/>
          <w:sz w:val="26"/>
        </w:rPr>
      </w:pPr>
      <w:r>
        <w:rPr>
          <w:rFonts w:ascii="Times New Roman" w:hAnsi="Times New Roman"/>
          <w:b/>
          <w:sz w:val="26"/>
        </w:rPr>
        <w:t>Особенности учета мягкого инвентаря</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5.6.25.</w:t>
      </w:r>
      <w:r>
        <w:t xml:space="preserve"> </w:t>
      </w:r>
      <w:r>
        <w:rPr>
          <w:rFonts w:ascii="Times New Roman" w:hAnsi="Times New Roman"/>
          <w:sz w:val="26"/>
        </w:rPr>
        <w:t>Для учета мягкого инвентаря ответственные лица применяют книгу учета материальных ценностей (ф. 0504042).</w:t>
      </w:r>
    </w:p>
    <w:p w:rsidR="005109DA" w:rsidRDefault="005109DA">
      <w:pPr>
        <w:widowControl w:val="0"/>
        <w:spacing w:before="220" w:after="0"/>
        <w:ind w:left="-426" w:firstLine="426"/>
        <w:contextualSpacing/>
        <w:jc w:val="both"/>
        <w:rPr>
          <w:rFonts w:ascii="Times New Roman" w:hAnsi="Times New Roman"/>
          <w:i/>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5.6.26. Предметы мягкого инвентаря маркируются ответственным лицом                                      в присутствии руководителя субъекта централизованного учета или его заместителя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Маркировочные штампы хранятся у руководителя  субъекта централизованного учета или его заместителя.</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5.6.27. Нормы обеспечения мягким инвентарем и сроки его эксплуатации регламентируются нормативными документами в зависимости от направления деятельности субъекта централизованного учета.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Истечение нормативных сроков эксплуатации мягкого инвентаря не является основанием для его списания с учета.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 По решению Комиссии  мягкий инвентарь, пришедший в негодность в процессе их использования (эксплуатации), подлежит списанию с учета, а ветошь, пригодная для использования в хозяйственных целях, подлежит оприходованию.</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5.6.28. Стирка и дезинфекция мягкого инвентаря производится в прачечной учреждения. В случаях отсутствия технической возможности для проведения мероприятий по уходу, их выполняет сторонняя организация по договору (контракту).</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5.6.29.  Списание мягкого инвентаря осуществляется на основании акта о списании мягкого и хозяйственного инвентаря (ф. 0504143).</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5.6.30. Операции по перемещению мягкого инвентаря между ответственными лицами отражаются путем изменения ответственного лица в карточке количественно-суммового учета материальных ценностей (ф. 0504041).</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after="0"/>
        <w:ind w:left="-426" w:firstLine="426"/>
        <w:contextualSpacing/>
        <w:jc w:val="center"/>
        <w:rPr>
          <w:rFonts w:ascii="Times New Roman" w:hAnsi="Times New Roman"/>
          <w:b/>
          <w:sz w:val="26"/>
        </w:rPr>
      </w:pPr>
      <w:r>
        <w:rPr>
          <w:rFonts w:ascii="Times New Roman" w:hAnsi="Times New Roman"/>
          <w:b/>
          <w:sz w:val="26"/>
        </w:rPr>
        <w:t>Особенности учета продуктов питания</w:t>
      </w:r>
    </w:p>
    <w:p w:rsidR="005109DA" w:rsidRDefault="005109DA">
      <w:pPr>
        <w:widowControl w:val="0"/>
        <w:spacing w:after="0"/>
        <w:ind w:left="-426" w:firstLine="426"/>
        <w:contextualSpacing/>
        <w:jc w:val="both"/>
        <w:rPr>
          <w:rFonts w:ascii="Times New Roman" w:hAnsi="Times New Roman"/>
          <w:sz w:val="26"/>
        </w:rPr>
      </w:pP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5.6.31. Списание израсходованных продуктов питания отражается                                                 в меню-требование (ф. 0504202).</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5.6.32. Меню-требование составляется ежедневно в соответствии с нормами раскладки продуктов питания и данными о численности лиц на довольствии (воспитанники, работники).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В случае изменения количества воспитанников (свыше трех человек) по сравнению с данными на начало дня, указанными в меню-требовании, медицинский работник составляет расчет изменения потребности в продуктах питания. При увеличении потребности в продуктах питания, выписывается требование-накладная (ф.0510451) на склад, а при уменьшении потребности в продуктах питания, излишки сдаются на склад        и оформляются той же накладной с указанием на ней «Возврат». Продукты питания, заложенные в котел, возврату не подлежат.</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5.6.33. При проведении мероприятий (туристических, туристско-краеведческих) приобретение продуктов питания осуществляется на основании приказа руководителя                о проведении мероприятия с указанием срока, места проведения, численности группы                и ответственного лица (руководителя группы) путем выдачи денежных средств подотчет или путем безналичного перечисления денежных средств, в соответствии                                       с заключенным контрактом.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Расчет необходимого количества продуктов осуществляется из предполагаемой численности группы, без утверждения норм раскладки блюд на каждого человека.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Списание продуктов питания, используемых при проведении мероприятий (туристических, туристско-краеведческих) осуществляется на основании акта на списание продуктов питания, использованных при проведении мероприятия и акта                        о списании материальных запасов (ф. 0510460).</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5.6.34. Питание работникам дошкольных образовательных учреждений предоставляется в соответствии с Положением о питании работников субъекта централизованного учета.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Ответственность за соблюдением порядка организации питания, утвержденного Положением о питании работников, а также  недопущению образования просроченной дебиторской задолженности несет руководитель субъекта централизованного учета.</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Выдача квитанций за питание осуществляется бухгалтером централизованной бухгалтерии,  на основании табеля питания работников.</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5.6.35. Питание лиц при проведении массового мероприятия «Родительский день» осуществляется на основании приказа руководителя субъекта централизованного учета, ведомости выдачи материальных ценностей на нужды учреждения (ф. 0504210),                                   меню-требование (ф. 0504202).</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center"/>
        <w:rPr>
          <w:rFonts w:ascii="Times New Roman" w:hAnsi="Times New Roman"/>
          <w:b/>
          <w:sz w:val="26"/>
        </w:rPr>
      </w:pPr>
      <w:r>
        <w:rPr>
          <w:rFonts w:ascii="Times New Roman" w:hAnsi="Times New Roman"/>
          <w:b/>
          <w:sz w:val="26"/>
        </w:rPr>
        <w:t>Особенности учета посуды</w:t>
      </w:r>
    </w:p>
    <w:p w:rsidR="005109DA" w:rsidRDefault="005109DA">
      <w:pPr>
        <w:widowControl w:val="0"/>
        <w:spacing w:before="220" w:after="0"/>
        <w:ind w:left="-426" w:firstLine="426"/>
        <w:contextualSpacing/>
        <w:jc w:val="center"/>
        <w:rPr>
          <w:rFonts w:ascii="Times New Roman" w:hAnsi="Times New Roman"/>
          <w:b/>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5.6.36. Для обобщения сведений о разбитой посуде предназначена Книга регистрации боя посуды (ф.0504044).</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Комиссия принимает решение о списании материальных запасов, пришедших                            в негодность, с учетом данных Книги регистрации боя посуды и фиксирует его в акте на списание материальных запасов.</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5.6.37. Начисление расходов с отнесением на финансовый результат текущего финансового года отражается на основании  акта о списании мягкого и хозяйственного инвентаря (ф.0504143).</w:t>
      </w:r>
    </w:p>
    <w:p w:rsidR="005109DA" w:rsidRDefault="00000000">
      <w:pPr>
        <w:widowControl w:val="0"/>
        <w:spacing w:before="220" w:after="0"/>
        <w:ind w:left="-426" w:firstLine="426"/>
        <w:contextualSpacing/>
        <w:jc w:val="center"/>
        <w:rPr>
          <w:rFonts w:ascii="Times New Roman" w:hAnsi="Times New Roman"/>
          <w:b/>
          <w:sz w:val="26"/>
        </w:rPr>
      </w:pPr>
      <w:r>
        <w:rPr>
          <w:rFonts w:ascii="Times New Roman" w:hAnsi="Times New Roman"/>
          <w:b/>
          <w:sz w:val="26"/>
        </w:rPr>
        <w:t>Особенности учета игрушек</w:t>
      </w:r>
    </w:p>
    <w:p w:rsidR="005109DA" w:rsidRDefault="005109DA">
      <w:pPr>
        <w:widowControl w:val="0"/>
        <w:spacing w:before="220" w:after="0"/>
        <w:ind w:left="-426" w:firstLine="426"/>
        <w:contextualSpacing/>
        <w:jc w:val="both"/>
        <w:rPr>
          <w:rFonts w:ascii="Times New Roman" w:hAnsi="Times New Roman"/>
          <w:i/>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5.6.38. Отдельные игровые объекты, имеющие общее назначение, признаются комплексом объектов основных средств.</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5.6.39. Предметы, используемые в деятельности учреждения в течение периода, не превышающего 12 месяцев (независимо от их стоимости), относятся к материальным запасам.</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Окончательное решение по определению к какому виду нефинансовых активов (основные средства или материальные запасы) относятся те или иные игрушки                       и инвентарь принимает комиссия по поступлению и выбытию активов субъекта централизованного учета. </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5.6.40. Пришедшие в негодность игрушки и инвентарь подлежат списанию                            с балансового и забалансового учета. </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5.6.41. Основанием для отражения в учете выбытие игрушек и инвентаря стоимостью от 10 000 до 100 000 руб. является решение о списании и акт о списании мягкого и хозяйственного инвентаря (ф. 0504143).</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Решение о списании игрушек - материальных запасов принимается комиссией по поступлению и выбытию активов. На основании акта о списании материальных запасов (ф. 0510460) в бухгалтерском учете производятся соответствующие бухгалтерские записи.</w:t>
      </w:r>
    </w:p>
    <w:p w:rsidR="005109DA" w:rsidRDefault="00000000">
      <w:pPr>
        <w:widowControl w:val="0"/>
        <w:spacing w:before="220" w:after="0"/>
        <w:ind w:left="-426" w:firstLine="426"/>
        <w:contextualSpacing/>
        <w:jc w:val="center"/>
        <w:rPr>
          <w:rFonts w:ascii="Times New Roman" w:hAnsi="Times New Roman"/>
          <w:b/>
          <w:sz w:val="26"/>
        </w:rPr>
      </w:pPr>
      <w:r>
        <w:rPr>
          <w:rFonts w:ascii="Times New Roman" w:hAnsi="Times New Roman"/>
          <w:b/>
          <w:sz w:val="26"/>
        </w:rPr>
        <w:t>Особенности учета животных</w:t>
      </w:r>
    </w:p>
    <w:p w:rsidR="005109DA" w:rsidRDefault="005109DA">
      <w:pPr>
        <w:widowControl w:val="0"/>
        <w:spacing w:before="220" w:after="0"/>
        <w:ind w:left="-426" w:firstLine="426"/>
        <w:contextualSpacing/>
        <w:jc w:val="center"/>
        <w:rPr>
          <w:rFonts w:ascii="Times New Roman" w:hAnsi="Times New Roman"/>
          <w:b/>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5.6.42. Учету подлежат все животные независимо от вида, возраста, стоимости                        и источника получения, учитываются в составе прочих материальных запасов на счете           0 105 36 000.</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5.6.43. Единицей учета животных является отдельный объект.</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5.6.44. Учет ведется материально-ответственным лицом в книге учета животных                   (ОКУД 0504039).</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5.6.45.  Комиссия осматривает животных, подлежащих списанию, определяет возможность дальнейшего использования или причины их списания.</w:t>
      </w:r>
    </w:p>
    <w:p w:rsidR="005109DA" w:rsidRDefault="005109DA">
      <w:pPr>
        <w:widowControl w:val="0"/>
        <w:spacing w:before="220" w:after="0"/>
        <w:ind w:left="-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5.6.46. Утилизация животных производится только специализированными организациями, на которые возложены обязанности по их сбору и переработке. </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spacing w:after="0" w:line="240" w:lineRule="auto"/>
        <w:jc w:val="center"/>
        <w:rPr>
          <w:rFonts w:ascii="Times New Roman" w:hAnsi="Times New Roman"/>
          <w:b/>
          <w:sz w:val="26"/>
        </w:rPr>
      </w:pPr>
      <w:r>
        <w:rPr>
          <w:rFonts w:ascii="Times New Roman" w:hAnsi="Times New Roman"/>
          <w:b/>
          <w:sz w:val="26"/>
        </w:rPr>
        <w:t>Особенности учета медикаментов и лекарственных средств</w:t>
      </w:r>
    </w:p>
    <w:p w:rsidR="005109DA" w:rsidRDefault="005109DA">
      <w:pPr>
        <w:spacing w:after="0" w:line="240" w:lineRule="auto"/>
        <w:jc w:val="center"/>
        <w:rPr>
          <w:rFonts w:ascii="Times New Roman" w:hAnsi="Times New Roman"/>
          <w:b/>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 xml:space="preserve">5.6.47. Лекарственные препараты и материалы, используемые в медицинских целях, подлежат учету на счете 0 105 31 341. </w:t>
      </w:r>
    </w:p>
    <w:p w:rsidR="005109DA" w:rsidRDefault="005109DA">
      <w:pPr>
        <w:spacing w:after="0"/>
        <w:ind w:left="-426" w:firstLine="426"/>
        <w:jc w:val="both"/>
        <w:rPr>
          <w:rFonts w:ascii="Times New Roman" w:hAnsi="Times New Roman"/>
          <w:b/>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5.6.48 Предметно-количественный учет лекарственных препаратов,  являющихся                  в соответствии с законодательством наркотическими средствами, психотропными веществами или их прекурсорами осуществляется в соответствии с Правилами ведения и хранения специальных журналов регистрации операций, связанных с оборотом наркотических средств и психотропных веществ, утвержденными постановлением Правительства Российской Федерации от 4 ноября 2006 г. № 644 (наркотические средства и психотропные вещества), и Правилами ведения и хранения специальных журналов регистрации операций, связанных с оборотом прекурсоров наркотических средств и психотропных веществ, утвержденными постановлением Правительства Российской Федерации от 9 июня 2010 г. № 419 (прекурсоры наркотических средств                          и психотропных веществ).</w:t>
      </w:r>
    </w:p>
    <w:p w:rsidR="005109DA" w:rsidRDefault="005109DA">
      <w:pPr>
        <w:spacing w:after="0"/>
        <w:ind w:left="-426" w:firstLine="426"/>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 xml:space="preserve">5.6.49. Списание с бухгалтерского учета </w:t>
      </w:r>
      <w:bookmarkStart w:id="10" w:name="_Hlk120177539"/>
      <w:r>
        <w:rPr>
          <w:rFonts w:ascii="Times New Roman" w:hAnsi="Times New Roman"/>
          <w:sz w:val="26"/>
        </w:rPr>
        <w:t xml:space="preserve">наркотических средств и психотропных веществ </w:t>
      </w:r>
      <w:bookmarkEnd w:id="10"/>
      <w:r>
        <w:rPr>
          <w:rFonts w:ascii="Times New Roman" w:hAnsi="Times New Roman"/>
          <w:sz w:val="26"/>
        </w:rPr>
        <w:t>отражается по дебету счета 0 109 60 000 "Себестоимость готовой продукции, работ, услуг".</w:t>
      </w:r>
    </w:p>
    <w:p w:rsidR="005109DA" w:rsidRDefault="005109DA">
      <w:pPr>
        <w:pStyle w:val="ConsPlusNormal"/>
        <w:ind w:left="-426" w:firstLine="426"/>
        <w:contextualSpacing/>
        <w:jc w:val="center"/>
        <w:rPr>
          <w:rFonts w:ascii="Times New Roman" w:hAnsi="Times New Roman"/>
          <w:b/>
          <w:sz w:val="26"/>
        </w:rPr>
      </w:pPr>
    </w:p>
    <w:p w:rsidR="005109DA" w:rsidRDefault="005109DA">
      <w:pPr>
        <w:pStyle w:val="ConsPlusNormal"/>
        <w:ind w:left="-426" w:firstLine="426"/>
        <w:contextualSpacing/>
        <w:jc w:val="center"/>
        <w:rPr>
          <w:rFonts w:ascii="Times New Roman" w:hAnsi="Times New Roman"/>
          <w:b/>
          <w:sz w:val="26"/>
        </w:rPr>
      </w:pPr>
    </w:p>
    <w:p w:rsidR="005109DA" w:rsidRDefault="00000000">
      <w:pPr>
        <w:pStyle w:val="ConsPlusNormal"/>
        <w:ind w:left="-426" w:firstLine="426"/>
        <w:contextualSpacing/>
        <w:jc w:val="center"/>
        <w:rPr>
          <w:rFonts w:ascii="Times New Roman" w:hAnsi="Times New Roman"/>
          <w:sz w:val="26"/>
        </w:rPr>
      </w:pPr>
      <w:r>
        <w:rPr>
          <w:rFonts w:ascii="Times New Roman" w:hAnsi="Times New Roman"/>
          <w:b/>
          <w:sz w:val="26"/>
        </w:rPr>
        <w:t>5.7. Учет денежных средств и денежных документов</w:t>
      </w:r>
    </w:p>
    <w:p w:rsidR="005109DA" w:rsidRDefault="005109DA">
      <w:pPr>
        <w:pStyle w:val="ConsPlusNormal"/>
        <w:ind w:left="-426" w:firstLine="426"/>
        <w:contextualSpacing/>
        <w:jc w:val="center"/>
        <w:rPr>
          <w:rFonts w:ascii="Times New Roman" w:hAnsi="Times New Roman"/>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 xml:space="preserve">5.7.1. Учет денежных средств осуществляется в соответствии с требованиями, установленными </w:t>
      </w:r>
      <w:hyperlink r:id="rId50" w:history="1">
        <w:r>
          <w:rPr>
            <w:rFonts w:ascii="Times New Roman" w:hAnsi="Times New Roman"/>
            <w:sz w:val="26"/>
          </w:rPr>
          <w:t>Порядком</w:t>
        </w:r>
      </w:hyperlink>
      <w:r>
        <w:rPr>
          <w:rFonts w:ascii="Times New Roman" w:hAnsi="Times New Roman"/>
          <w:sz w:val="26"/>
        </w:rPr>
        <w:t xml:space="preserve"> ведения кассовых операций.</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51" w:history="1">
        <w:r>
          <w:rPr>
            <w:rFonts w:ascii="Times New Roman" w:hAnsi="Times New Roman"/>
            <w:i/>
            <w:sz w:val="26"/>
          </w:rPr>
          <w:t>Указание</w:t>
        </w:r>
      </w:hyperlink>
      <w:r>
        <w:rPr>
          <w:rFonts w:ascii="Times New Roman" w:hAnsi="Times New Roman"/>
          <w:i/>
          <w:sz w:val="26"/>
        </w:rPr>
        <w:t xml:space="preserve"> от 11.03.2014 № 3210-У)</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bookmarkStart w:id="11" w:name="_Hlk117169250"/>
      <w:r>
        <w:rPr>
          <w:rFonts w:ascii="Times New Roman" w:hAnsi="Times New Roman"/>
          <w:sz w:val="26"/>
        </w:rPr>
        <w:t>5.7.2.  Для ведения кассовых операций по приему наличных денег, включающих их пересчет, выдаче наличных денег субъект централизованного учета самостоятельно определяет лимит остатка наличных денег, исходя из характера его деятельности                         с учетом объемов поступлений и объемов выдачи наличных денег.</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Превышение наличных денег в кассе сверх установленного лимита остатка наличных денег допускается в дни выплат заработной платы, выплат социального характера, но не превышающий пяти рабочих дней включая день получения наличных денег, а также в выходные, нерабочие праздничные дни в случае ведения в эти дни кассовых операций.</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В других случаях накопление наличных денег в кассе сверх установленного лимита остатка наличных денег не допускается.</w:t>
      </w:r>
      <w:bookmarkEnd w:id="11"/>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 п. 2, 6.5 Указания от 11.03.2014 № 3210-У)</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pPr>
      <w:r>
        <w:rPr>
          <w:rFonts w:ascii="Times New Roman" w:hAnsi="Times New Roman"/>
          <w:sz w:val="26"/>
        </w:rPr>
        <w:t xml:space="preserve">5.7.3.  Кассовая книга </w:t>
      </w:r>
      <w:hyperlink r:id="rId52" w:history="1">
        <w:r>
          <w:rPr>
            <w:rFonts w:ascii="Times New Roman" w:hAnsi="Times New Roman"/>
            <w:sz w:val="26"/>
          </w:rPr>
          <w:t>(ф. 0504514)</w:t>
        </w:r>
      </w:hyperlink>
      <w:r>
        <w:rPr>
          <w:rFonts w:ascii="Times New Roman" w:hAnsi="Times New Roman"/>
          <w:sz w:val="26"/>
        </w:rPr>
        <w:t xml:space="preserve"> формируется с применением «1С: Бухгалтерия государственного  учреждения 8».</w:t>
      </w:r>
      <w:r>
        <w:t xml:space="preserve"> </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 167 Инструкции №157н, п.27 «Концептуальные основы», п. п. п. 4.1, 4.6, 4.7 Указания от 11.03.2014 № 3210-У)</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bookmarkStart w:id="12" w:name="_Hlk117169413"/>
      <w:r>
        <w:rPr>
          <w:rFonts w:ascii="Times New Roman" w:hAnsi="Times New Roman"/>
          <w:sz w:val="26"/>
        </w:rPr>
        <w:t>5.7.4. Внесение на лицевой счет субъекта централизованного учета наличных денежных средств от работника субъекта централизованного учета (или ранее им являющегося), осуществляется через кассу централизованной бухгалтерии.</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5.7.5. Прием от физических лиц  наличных и безналичных денежных средств (эквайринг) за оказанные платные услуги осуществляется ответственным лицом субъекта централизованного учета, непосредственно в учреждении.</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5.7.6.  Зачисление наличных денежных средств на лицевой счет субъекта централизованного учета осуществляется по средствам электронного документооборота с территориальным органом Федерального казначейства через именную дебетовую карту ответственного лица.</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5.7.7. При переходном периоде допускается зачисление наличных денежных средств от физических лиц  за оказанные  платные услуги в кассу централизованной бухгалтерии по реестру передаваемых документов, с приложением подтверждающих документов (контрольно-кассовая лента, отчет о закрытии  смены, ведомость и т.п.),                  с последующим зачислением их на лицевой счет субъекта централизованного учета.</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sz w:val="26"/>
        </w:rPr>
        <w:t xml:space="preserve"> </w:t>
      </w:r>
      <w:r>
        <w:rPr>
          <w:rFonts w:ascii="Times New Roman" w:hAnsi="Times New Roman"/>
          <w:i/>
          <w:sz w:val="26"/>
        </w:rPr>
        <w:t>(Основание:</w:t>
      </w:r>
      <w:r>
        <w:t xml:space="preserve"> </w:t>
      </w:r>
      <w:r>
        <w:rPr>
          <w:rFonts w:ascii="Times New Roman" w:hAnsi="Times New Roman"/>
          <w:i/>
          <w:sz w:val="26"/>
        </w:rPr>
        <w:t xml:space="preserve">п. 167 Инструкции №157н, </w:t>
      </w:r>
      <w:hyperlink r:id="rId53" w:history="1">
        <w:r>
          <w:rPr>
            <w:rFonts w:ascii="Times New Roman" w:hAnsi="Times New Roman"/>
            <w:i/>
            <w:sz w:val="26"/>
          </w:rPr>
          <w:t>п. п. 4.7 п. 4</w:t>
        </w:r>
      </w:hyperlink>
      <w:r>
        <w:rPr>
          <w:rFonts w:ascii="Times New Roman" w:hAnsi="Times New Roman"/>
          <w:i/>
          <w:sz w:val="26"/>
        </w:rPr>
        <w:t xml:space="preserve"> Указания № 3210-У, </w:t>
      </w:r>
      <w:hyperlink r:id="rId54" w:history="1">
        <w:r>
          <w:rPr>
            <w:rFonts w:ascii="Times New Roman" w:hAnsi="Times New Roman"/>
            <w:i/>
            <w:sz w:val="26"/>
          </w:rPr>
          <w:t>п. п. 27, 32</w:t>
        </w:r>
      </w:hyperlink>
      <w:r>
        <w:rPr>
          <w:rFonts w:ascii="Times New Roman" w:hAnsi="Times New Roman"/>
          <w:i/>
          <w:sz w:val="26"/>
        </w:rPr>
        <w:t xml:space="preserve"> СГС "Концептуальные основы")</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5.7.8. В составе денежных документов учитываются оплаченные:</w:t>
      </w:r>
    </w:p>
    <w:p w:rsidR="005109DA" w:rsidRDefault="00000000">
      <w:pPr>
        <w:pStyle w:val="ConsPlusNormal"/>
        <w:numPr>
          <w:ilvl w:val="0"/>
          <w:numId w:val="24"/>
        </w:numPr>
        <w:spacing w:before="220" w:line="276" w:lineRule="auto"/>
        <w:contextualSpacing/>
        <w:jc w:val="both"/>
        <w:rPr>
          <w:rFonts w:ascii="Times New Roman" w:hAnsi="Times New Roman"/>
          <w:sz w:val="26"/>
        </w:rPr>
      </w:pPr>
      <w:r>
        <w:rPr>
          <w:rFonts w:ascii="Times New Roman" w:hAnsi="Times New Roman"/>
          <w:sz w:val="26"/>
        </w:rPr>
        <w:t>почтовые конверты с марками, отдельно приобретаемые почтовые марки;</w:t>
      </w:r>
    </w:p>
    <w:p w:rsidR="005109DA" w:rsidRDefault="00000000">
      <w:pPr>
        <w:pStyle w:val="ConsPlusNormal"/>
        <w:numPr>
          <w:ilvl w:val="0"/>
          <w:numId w:val="24"/>
        </w:numPr>
        <w:spacing w:before="220" w:line="276" w:lineRule="auto"/>
        <w:contextualSpacing/>
        <w:jc w:val="both"/>
        <w:rPr>
          <w:rFonts w:ascii="Times New Roman" w:hAnsi="Times New Roman"/>
          <w:sz w:val="26"/>
        </w:rPr>
      </w:pPr>
      <w:r>
        <w:rPr>
          <w:rFonts w:ascii="Times New Roman" w:hAnsi="Times New Roman"/>
          <w:sz w:val="26"/>
        </w:rPr>
        <w:t>талоны на горюче-смазочные материалы;</w:t>
      </w:r>
    </w:p>
    <w:p w:rsidR="005109DA" w:rsidRDefault="00000000">
      <w:pPr>
        <w:pStyle w:val="ConsPlusNormal"/>
        <w:numPr>
          <w:ilvl w:val="0"/>
          <w:numId w:val="24"/>
        </w:numPr>
        <w:spacing w:line="276" w:lineRule="auto"/>
        <w:contextualSpacing/>
        <w:jc w:val="both"/>
        <w:rPr>
          <w:rFonts w:ascii="Times New Roman" w:hAnsi="Times New Roman"/>
          <w:sz w:val="26"/>
        </w:rPr>
      </w:pPr>
      <w:r>
        <w:rPr>
          <w:rFonts w:ascii="Times New Roman" w:hAnsi="Times New Roman"/>
          <w:sz w:val="26"/>
        </w:rPr>
        <w:t>авиационные и железнодорожные билеты, оформленные на бумажном носителе;</w:t>
      </w:r>
    </w:p>
    <w:p w:rsidR="005109DA" w:rsidRDefault="00000000">
      <w:pPr>
        <w:pStyle w:val="ConsPlusNormal"/>
        <w:numPr>
          <w:ilvl w:val="0"/>
          <w:numId w:val="24"/>
        </w:numPr>
        <w:spacing w:before="220" w:line="276" w:lineRule="auto"/>
        <w:contextualSpacing/>
        <w:jc w:val="both"/>
        <w:rPr>
          <w:rFonts w:ascii="Times New Roman" w:hAnsi="Times New Roman"/>
          <w:sz w:val="26"/>
        </w:rPr>
      </w:pPr>
      <w:r>
        <w:rPr>
          <w:rFonts w:ascii="Times New Roman" w:hAnsi="Times New Roman"/>
          <w:sz w:val="26"/>
        </w:rPr>
        <w:t>санаторно-курортные путевки на лечение и отдых сотрудников учреждения и членов их семей</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55" w:history="1">
        <w:r>
          <w:rPr>
            <w:rFonts w:ascii="Times New Roman" w:hAnsi="Times New Roman"/>
            <w:i/>
            <w:sz w:val="26"/>
          </w:rPr>
          <w:t>п. 169</w:t>
        </w:r>
      </w:hyperlink>
      <w:r>
        <w:rPr>
          <w:rFonts w:ascii="Times New Roman" w:hAnsi="Times New Roman"/>
          <w:i/>
          <w:sz w:val="26"/>
        </w:rPr>
        <w:t xml:space="preserve"> Инструкции № 157н)</w:t>
      </w:r>
      <w:bookmarkEnd w:id="12"/>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5.7.9. Денежные документы учитываются по первоначальной стоимости, сформированной в объеме фактических затрат, с учетом всех налогов, в том числе возмещаемых.</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 п. 169, 170 Инструкции № 157н</w:t>
      </w:r>
      <w:r>
        <w:t xml:space="preserve">, </w:t>
      </w:r>
      <w:hyperlink r:id="rId56" w:history="1">
        <w:r>
          <w:rPr>
            <w:rFonts w:ascii="Times New Roman" w:hAnsi="Times New Roman"/>
            <w:i/>
            <w:sz w:val="26"/>
          </w:rPr>
          <w:t>п. 9</w:t>
        </w:r>
      </w:hyperlink>
      <w:r>
        <w:rPr>
          <w:rFonts w:ascii="Times New Roman" w:hAnsi="Times New Roman"/>
          <w:i/>
          <w:sz w:val="26"/>
        </w:rPr>
        <w:t xml:space="preserve"> СГС "Учетная политика")</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5.7.10. Учет дебетовых карт, замещающие чековые книжки и используемые для снятия наличных средств с лицевого счета субъекта централизованного учета                            ведется в Журнале учета дебетовых карт.</w:t>
      </w:r>
    </w:p>
    <w:p w:rsidR="005109DA" w:rsidRDefault="005109DA">
      <w:pPr>
        <w:spacing w:after="0" w:line="240" w:lineRule="auto"/>
        <w:jc w:val="center"/>
        <w:rPr>
          <w:rFonts w:ascii="Times New Roman" w:hAnsi="Times New Roman"/>
          <w:b/>
          <w:sz w:val="26"/>
        </w:rPr>
      </w:pPr>
    </w:p>
    <w:p w:rsidR="005109DA" w:rsidRDefault="00000000">
      <w:pPr>
        <w:spacing w:after="0" w:line="240" w:lineRule="auto"/>
        <w:jc w:val="center"/>
        <w:rPr>
          <w:rFonts w:ascii="Times New Roman" w:hAnsi="Times New Roman"/>
          <w:b/>
          <w:sz w:val="26"/>
        </w:rPr>
      </w:pPr>
      <w:r>
        <w:rPr>
          <w:rFonts w:ascii="Times New Roman" w:hAnsi="Times New Roman"/>
          <w:b/>
          <w:sz w:val="26"/>
        </w:rPr>
        <w:t xml:space="preserve">6. Затраты на изготовление готовой продукции, выполнение работ, </w:t>
      </w:r>
    </w:p>
    <w:p w:rsidR="005109DA" w:rsidRDefault="00000000">
      <w:pPr>
        <w:spacing w:after="0" w:line="240" w:lineRule="auto"/>
        <w:jc w:val="center"/>
        <w:rPr>
          <w:rFonts w:ascii="Times New Roman" w:hAnsi="Times New Roman"/>
          <w:b/>
          <w:sz w:val="26"/>
        </w:rPr>
      </w:pPr>
      <w:r>
        <w:rPr>
          <w:rFonts w:ascii="Times New Roman" w:hAnsi="Times New Roman"/>
          <w:b/>
          <w:sz w:val="26"/>
        </w:rPr>
        <w:t>оказание услуг</w:t>
      </w:r>
    </w:p>
    <w:p w:rsidR="005109DA" w:rsidRDefault="00000000">
      <w:pPr>
        <w:pStyle w:val="ConsPlusNormal"/>
        <w:spacing w:before="220" w:line="276" w:lineRule="auto"/>
        <w:ind w:left="-426" w:firstLine="426"/>
        <w:contextualSpacing/>
        <w:jc w:val="both"/>
        <w:rPr>
          <w:rFonts w:ascii="Times New Roman" w:hAnsi="Times New Roman"/>
          <w:sz w:val="26"/>
        </w:rPr>
      </w:pPr>
      <w:bookmarkStart w:id="13" w:name="_Hlk117169117"/>
      <w:r>
        <w:rPr>
          <w:rFonts w:ascii="Times New Roman" w:hAnsi="Times New Roman"/>
          <w:sz w:val="26"/>
        </w:rPr>
        <w:t>6.1. Учет расходов по формированию себестоимости ведется раздельно:</w:t>
      </w:r>
    </w:p>
    <w:p w:rsidR="005109DA" w:rsidRDefault="00000000">
      <w:pPr>
        <w:pStyle w:val="ConsPlusNormal"/>
        <w:numPr>
          <w:ilvl w:val="0"/>
          <w:numId w:val="25"/>
        </w:numPr>
        <w:spacing w:before="220"/>
        <w:contextualSpacing/>
        <w:jc w:val="both"/>
        <w:rPr>
          <w:rFonts w:ascii="Times New Roman" w:hAnsi="Times New Roman"/>
          <w:sz w:val="26"/>
        </w:rPr>
      </w:pPr>
      <w:r>
        <w:rPr>
          <w:rFonts w:ascii="Times New Roman" w:hAnsi="Times New Roman"/>
          <w:sz w:val="26"/>
        </w:rPr>
        <w:t>в рамках лицензионной приносящей доход деятельности;</w:t>
      </w:r>
    </w:p>
    <w:p w:rsidR="005109DA" w:rsidRDefault="00000000">
      <w:pPr>
        <w:pStyle w:val="ConsPlusNormal"/>
        <w:numPr>
          <w:ilvl w:val="0"/>
          <w:numId w:val="25"/>
        </w:numPr>
        <w:spacing w:before="220" w:line="276" w:lineRule="auto"/>
        <w:contextualSpacing/>
        <w:jc w:val="both"/>
        <w:rPr>
          <w:rFonts w:ascii="Times New Roman" w:hAnsi="Times New Roman"/>
          <w:sz w:val="26"/>
        </w:rPr>
      </w:pPr>
      <w:r>
        <w:rPr>
          <w:rFonts w:ascii="Times New Roman" w:hAnsi="Times New Roman"/>
          <w:sz w:val="26"/>
        </w:rPr>
        <w:t>в рамках государственного (муниципального) задания;</w:t>
      </w:r>
    </w:p>
    <w:p w:rsidR="005109DA" w:rsidRDefault="00000000">
      <w:pPr>
        <w:pStyle w:val="ConsPlusNormal"/>
        <w:numPr>
          <w:ilvl w:val="0"/>
          <w:numId w:val="25"/>
        </w:numPr>
        <w:spacing w:before="220" w:line="276" w:lineRule="auto"/>
        <w:contextualSpacing/>
        <w:jc w:val="both"/>
        <w:rPr>
          <w:rFonts w:ascii="Times New Roman" w:hAnsi="Times New Roman"/>
          <w:sz w:val="26"/>
        </w:rPr>
      </w:pPr>
      <w:r>
        <w:rPr>
          <w:rFonts w:ascii="Times New Roman" w:hAnsi="Times New Roman"/>
          <w:sz w:val="26"/>
        </w:rPr>
        <w:t>в рамках обязательного медицинского страхования.</w:t>
      </w:r>
    </w:p>
    <w:p w:rsidR="005109DA" w:rsidRDefault="005109DA">
      <w:pPr>
        <w:spacing w:after="0"/>
        <w:ind w:left="-426" w:firstLine="540"/>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6.2. Для формирования в денежном выражении информации о затратах на изготовление готовой продукции, выполнение работ, услуг и хозяйственных операций применяются следующие группы счетов:</w:t>
      </w:r>
    </w:p>
    <w:p w:rsidR="005109DA" w:rsidRDefault="00000000">
      <w:pPr>
        <w:spacing w:after="0"/>
        <w:ind w:left="-426" w:firstLine="426"/>
        <w:jc w:val="both"/>
        <w:rPr>
          <w:rFonts w:ascii="Times New Roman" w:hAnsi="Times New Roman"/>
          <w:sz w:val="26"/>
        </w:rPr>
      </w:pPr>
      <w:r>
        <w:rPr>
          <w:rFonts w:ascii="Times New Roman" w:hAnsi="Times New Roman"/>
          <w:sz w:val="26"/>
        </w:rPr>
        <w:t>0 109 60 000 "Себестоимость готовой продукции, работ, услуг";</w:t>
      </w:r>
    </w:p>
    <w:p w:rsidR="005109DA" w:rsidRDefault="00000000">
      <w:pPr>
        <w:spacing w:after="0"/>
        <w:ind w:left="-426" w:firstLine="426"/>
        <w:jc w:val="both"/>
        <w:rPr>
          <w:rFonts w:ascii="Times New Roman" w:hAnsi="Times New Roman"/>
          <w:sz w:val="26"/>
        </w:rPr>
      </w:pPr>
      <w:r>
        <w:rPr>
          <w:rFonts w:ascii="Times New Roman" w:hAnsi="Times New Roman"/>
          <w:sz w:val="26"/>
        </w:rPr>
        <w:t>0 109 80 000 "Общехозяйственные расходы"</w:t>
      </w:r>
    </w:p>
    <w:p w:rsidR="005109DA" w:rsidRDefault="00000000">
      <w:pPr>
        <w:spacing w:after="0" w:line="240" w:lineRule="auto"/>
        <w:ind w:left="-426" w:firstLine="426"/>
        <w:jc w:val="both"/>
        <w:rPr>
          <w:rFonts w:ascii="Times New Roman" w:hAnsi="Times New Roman"/>
          <w:i/>
          <w:sz w:val="26"/>
        </w:rPr>
      </w:pPr>
      <w:r>
        <w:rPr>
          <w:rFonts w:ascii="Times New Roman" w:hAnsi="Times New Roman"/>
          <w:i/>
          <w:sz w:val="26"/>
        </w:rPr>
        <w:t>(Основание: п.п.134,138 Инструкции №157н, п.60 Инструкции № 174н)</w:t>
      </w:r>
    </w:p>
    <w:p w:rsidR="005109DA" w:rsidRDefault="005109DA">
      <w:pPr>
        <w:spacing w:after="0"/>
        <w:ind w:left="-426" w:firstLine="426"/>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6.3. Принятие к бухгалтерскому учету хозяйственных операций по формированию фактической стоимости отражаются по дебету счета 0 109 60 000 "Себестоимость готовой продукции, работ, услуг":</w:t>
      </w:r>
    </w:p>
    <w:p w:rsidR="005109DA" w:rsidRDefault="00000000">
      <w:pPr>
        <w:pStyle w:val="a3"/>
        <w:numPr>
          <w:ilvl w:val="0"/>
          <w:numId w:val="26"/>
        </w:numPr>
        <w:spacing w:after="0"/>
        <w:ind w:left="-426" w:firstLine="426"/>
        <w:jc w:val="both"/>
        <w:rPr>
          <w:rFonts w:ascii="Times New Roman" w:hAnsi="Times New Roman"/>
          <w:sz w:val="26"/>
        </w:rPr>
      </w:pPr>
      <w:r>
        <w:rPr>
          <w:rFonts w:ascii="Times New Roman" w:hAnsi="Times New Roman"/>
          <w:sz w:val="26"/>
        </w:rPr>
        <w:t>затраты на оплату труда и начисления на выплаты по оплате труда работников субъекта централизованного учета, непосредственно участвующих                    в оказании услуги;</w:t>
      </w:r>
    </w:p>
    <w:p w:rsidR="005109DA" w:rsidRDefault="00000000">
      <w:pPr>
        <w:pStyle w:val="a3"/>
        <w:numPr>
          <w:ilvl w:val="0"/>
          <w:numId w:val="26"/>
        </w:numPr>
        <w:spacing w:before="220" w:after="0"/>
        <w:ind w:left="-426" w:firstLine="426"/>
        <w:jc w:val="both"/>
        <w:rPr>
          <w:rFonts w:ascii="Times New Roman" w:hAnsi="Times New Roman"/>
          <w:sz w:val="26"/>
        </w:rPr>
      </w:pPr>
      <w:r>
        <w:rPr>
          <w:rFonts w:ascii="Times New Roman" w:hAnsi="Times New Roman"/>
          <w:sz w:val="26"/>
        </w:rPr>
        <w:t xml:space="preserve">списанные материальные запасы, израсходованные непосредственно            на  оказание услуги: </w:t>
      </w:r>
    </w:p>
    <w:p w:rsidR="005109DA" w:rsidRDefault="00000000">
      <w:pPr>
        <w:pStyle w:val="a3"/>
        <w:numPr>
          <w:ilvl w:val="0"/>
          <w:numId w:val="27"/>
        </w:numPr>
        <w:spacing w:before="220" w:after="0"/>
        <w:jc w:val="both"/>
        <w:rPr>
          <w:rFonts w:ascii="Times New Roman" w:hAnsi="Times New Roman"/>
          <w:sz w:val="26"/>
        </w:rPr>
      </w:pPr>
      <w:r>
        <w:rPr>
          <w:rFonts w:ascii="Times New Roman" w:hAnsi="Times New Roman"/>
          <w:sz w:val="26"/>
        </w:rPr>
        <w:t>продуктовые наборы (субъект централизованного учета – учреждения</w:t>
      </w:r>
    </w:p>
    <w:p w:rsidR="005109DA" w:rsidRDefault="00000000">
      <w:pPr>
        <w:pStyle w:val="a3"/>
        <w:spacing w:before="220" w:after="0"/>
        <w:ind w:left="0"/>
        <w:jc w:val="both"/>
        <w:rPr>
          <w:rFonts w:ascii="Times New Roman" w:hAnsi="Times New Roman"/>
          <w:sz w:val="26"/>
        </w:rPr>
      </w:pPr>
      <w:r>
        <w:rPr>
          <w:rFonts w:ascii="Times New Roman" w:hAnsi="Times New Roman"/>
          <w:sz w:val="26"/>
        </w:rPr>
        <w:t xml:space="preserve">           социальной политики);</w:t>
      </w:r>
    </w:p>
    <w:p w:rsidR="005109DA" w:rsidRDefault="00000000">
      <w:pPr>
        <w:pStyle w:val="a3"/>
        <w:numPr>
          <w:ilvl w:val="0"/>
          <w:numId w:val="27"/>
        </w:numPr>
        <w:spacing w:before="220" w:after="0"/>
        <w:jc w:val="both"/>
        <w:rPr>
          <w:rFonts w:ascii="Times New Roman" w:hAnsi="Times New Roman"/>
          <w:sz w:val="26"/>
        </w:rPr>
      </w:pPr>
      <w:r>
        <w:rPr>
          <w:rFonts w:ascii="Times New Roman" w:hAnsi="Times New Roman"/>
          <w:sz w:val="26"/>
        </w:rPr>
        <w:t xml:space="preserve">продукты питания </w:t>
      </w:r>
      <w:bookmarkStart w:id="14" w:name="_Hlk120272139"/>
      <w:r>
        <w:rPr>
          <w:rFonts w:ascii="Times New Roman" w:hAnsi="Times New Roman"/>
          <w:sz w:val="26"/>
        </w:rPr>
        <w:t>(субъект централизованного учета – дошкольные         образовательные учреждения);</w:t>
      </w:r>
      <w:bookmarkEnd w:id="14"/>
    </w:p>
    <w:p w:rsidR="005109DA" w:rsidRDefault="00000000">
      <w:pPr>
        <w:pStyle w:val="a3"/>
        <w:numPr>
          <w:ilvl w:val="0"/>
          <w:numId w:val="27"/>
        </w:numPr>
        <w:spacing w:before="220" w:after="0"/>
        <w:jc w:val="both"/>
        <w:rPr>
          <w:rFonts w:ascii="Times New Roman" w:hAnsi="Times New Roman"/>
          <w:sz w:val="26"/>
        </w:rPr>
      </w:pPr>
      <w:r>
        <w:rPr>
          <w:rFonts w:ascii="Times New Roman" w:hAnsi="Times New Roman"/>
          <w:sz w:val="26"/>
        </w:rPr>
        <w:t>игрушки (субъект централизованного учета – дошкольные образовательные учреждения);</w:t>
      </w:r>
    </w:p>
    <w:p w:rsidR="005109DA" w:rsidRDefault="00000000">
      <w:pPr>
        <w:pStyle w:val="a3"/>
        <w:numPr>
          <w:ilvl w:val="0"/>
          <w:numId w:val="27"/>
        </w:numPr>
        <w:spacing w:before="220" w:after="0"/>
        <w:jc w:val="both"/>
        <w:rPr>
          <w:rFonts w:ascii="Times New Roman" w:hAnsi="Times New Roman"/>
          <w:sz w:val="26"/>
        </w:rPr>
      </w:pPr>
      <w:r>
        <w:rPr>
          <w:rFonts w:ascii="Times New Roman" w:hAnsi="Times New Roman"/>
          <w:sz w:val="26"/>
        </w:rPr>
        <w:t>медикаменты, лекарственные средства и перевязочные средства (субъект централизованного учета – учреждения здравоохранения);</w:t>
      </w:r>
    </w:p>
    <w:p w:rsidR="005109DA" w:rsidRDefault="00000000">
      <w:pPr>
        <w:pStyle w:val="a3"/>
        <w:numPr>
          <w:ilvl w:val="0"/>
          <w:numId w:val="27"/>
        </w:numPr>
        <w:spacing w:before="220" w:after="0"/>
        <w:jc w:val="both"/>
        <w:rPr>
          <w:rFonts w:ascii="Times New Roman" w:hAnsi="Times New Roman"/>
          <w:sz w:val="26"/>
        </w:rPr>
      </w:pPr>
      <w:r>
        <w:rPr>
          <w:rFonts w:ascii="Times New Roman" w:hAnsi="Times New Roman"/>
          <w:sz w:val="26"/>
        </w:rPr>
        <w:t>наркотические средства и психотропные вещества (субъект централизованного учета – учреждения здравоохранения);</w:t>
      </w:r>
    </w:p>
    <w:p w:rsidR="005109DA" w:rsidRDefault="00000000">
      <w:pPr>
        <w:pStyle w:val="a3"/>
        <w:numPr>
          <w:ilvl w:val="0"/>
          <w:numId w:val="27"/>
        </w:numPr>
        <w:spacing w:before="220" w:after="0"/>
        <w:jc w:val="both"/>
        <w:rPr>
          <w:rFonts w:ascii="Times New Roman" w:hAnsi="Times New Roman"/>
          <w:sz w:val="26"/>
        </w:rPr>
      </w:pPr>
      <w:r>
        <w:rPr>
          <w:rFonts w:ascii="Times New Roman" w:hAnsi="Times New Roman"/>
          <w:sz w:val="26"/>
        </w:rPr>
        <w:t>перевязочные средства (субъект централизованного учета – учреждения здравоохранения);</w:t>
      </w:r>
    </w:p>
    <w:p w:rsidR="005109DA" w:rsidRDefault="00000000">
      <w:pPr>
        <w:pStyle w:val="a3"/>
        <w:numPr>
          <w:ilvl w:val="0"/>
          <w:numId w:val="27"/>
        </w:numPr>
        <w:spacing w:before="220" w:after="0"/>
        <w:jc w:val="both"/>
        <w:rPr>
          <w:rFonts w:ascii="Times New Roman" w:hAnsi="Times New Roman"/>
          <w:sz w:val="26"/>
        </w:rPr>
      </w:pPr>
      <w:r>
        <w:rPr>
          <w:rFonts w:ascii="Times New Roman" w:hAnsi="Times New Roman"/>
          <w:sz w:val="26"/>
        </w:rPr>
        <w:t>рабочие тетради, дидактический материал (субъект централизованного учета – образовательные учреждения);</w:t>
      </w:r>
    </w:p>
    <w:p w:rsidR="005109DA" w:rsidRDefault="00000000">
      <w:pPr>
        <w:pStyle w:val="a3"/>
        <w:numPr>
          <w:ilvl w:val="0"/>
          <w:numId w:val="27"/>
        </w:numPr>
        <w:spacing w:before="220" w:after="0"/>
        <w:jc w:val="both"/>
        <w:rPr>
          <w:rFonts w:ascii="Times New Roman" w:hAnsi="Times New Roman"/>
          <w:sz w:val="26"/>
        </w:rPr>
      </w:pPr>
      <w:r>
        <w:rPr>
          <w:rFonts w:ascii="Times New Roman" w:hAnsi="Times New Roman"/>
          <w:sz w:val="26"/>
        </w:rPr>
        <w:t>театральные атрибуты, грим, эффекты сцены и т.п. (субъект централизованного учета – учреждения культуры)</w:t>
      </w:r>
    </w:p>
    <w:p w:rsidR="005109DA" w:rsidRDefault="00000000">
      <w:pPr>
        <w:pStyle w:val="a3"/>
        <w:numPr>
          <w:ilvl w:val="0"/>
          <w:numId w:val="28"/>
        </w:numPr>
        <w:spacing w:before="220" w:after="0"/>
        <w:ind w:left="0" w:firstLine="0"/>
        <w:jc w:val="both"/>
        <w:rPr>
          <w:rFonts w:ascii="Times New Roman" w:hAnsi="Times New Roman"/>
          <w:sz w:val="26"/>
        </w:rPr>
      </w:pPr>
      <w:r>
        <w:rPr>
          <w:rFonts w:ascii="Times New Roman" w:hAnsi="Times New Roman"/>
          <w:sz w:val="26"/>
        </w:rPr>
        <w:t>затраты на приобретение основных средств и нематериальных активов, непосредственно связанных с оказанием услуги, используемого в процессе оказания услуги, с учетом срока его полезного использования:</w:t>
      </w:r>
    </w:p>
    <w:p w:rsidR="005109DA" w:rsidRDefault="00000000">
      <w:pPr>
        <w:pStyle w:val="a3"/>
        <w:numPr>
          <w:ilvl w:val="0"/>
          <w:numId w:val="29"/>
        </w:numPr>
        <w:spacing w:before="220" w:after="0"/>
        <w:jc w:val="both"/>
        <w:rPr>
          <w:rFonts w:ascii="Times New Roman" w:hAnsi="Times New Roman"/>
          <w:sz w:val="26"/>
        </w:rPr>
      </w:pPr>
      <w:r>
        <w:rPr>
          <w:rFonts w:ascii="Times New Roman" w:hAnsi="Times New Roman"/>
          <w:sz w:val="26"/>
        </w:rPr>
        <w:t xml:space="preserve">приобретение учебников и учебных пособий (субъект централизованного учета – образовательные учреждения);   </w:t>
      </w:r>
    </w:p>
    <w:p w:rsidR="005109DA" w:rsidRDefault="00000000">
      <w:pPr>
        <w:pStyle w:val="a3"/>
        <w:numPr>
          <w:ilvl w:val="0"/>
          <w:numId w:val="29"/>
        </w:numPr>
        <w:spacing w:before="220" w:after="0"/>
        <w:jc w:val="both"/>
        <w:rPr>
          <w:rFonts w:ascii="Times New Roman" w:hAnsi="Times New Roman"/>
          <w:sz w:val="26"/>
        </w:rPr>
      </w:pPr>
      <w:r>
        <w:rPr>
          <w:rFonts w:ascii="Times New Roman" w:hAnsi="Times New Roman"/>
          <w:sz w:val="26"/>
        </w:rPr>
        <w:t>средства обучения: интерактивные доски и т.п., (субъект централизованного учета – образовательные учреждения);</w:t>
      </w:r>
    </w:p>
    <w:p w:rsidR="005109DA" w:rsidRDefault="00000000">
      <w:pPr>
        <w:pStyle w:val="a3"/>
        <w:numPr>
          <w:ilvl w:val="0"/>
          <w:numId w:val="29"/>
        </w:numPr>
        <w:spacing w:before="220" w:after="0"/>
        <w:jc w:val="both"/>
        <w:rPr>
          <w:rFonts w:ascii="Times New Roman" w:hAnsi="Times New Roman"/>
          <w:sz w:val="26"/>
        </w:rPr>
      </w:pPr>
      <w:r>
        <w:rPr>
          <w:rFonts w:ascii="Times New Roman" w:hAnsi="Times New Roman"/>
          <w:sz w:val="26"/>
        </w:rPr>
        <w:t xml:space="preserve">спортивный инвентарь (субъект централизованного учета – дошкольные образовательные учреждения, образовательные учреждения, учреждения культуры, учреждения социальной политики, учреждения здравоохранения);   </w:t>
      </w:r>
    </w:p>
    <w:p w:rsidR="005109DA" w:rsidRDefault="00000000">
      <w:pPr>
        <w:pStyle w:val="a3"/>
        <w:numPr>
          <w:ilvl w:val="0"/>
          <w:numId w:val="29"/>
        </w:numPr>
        <w:spacing w:before="220" w:after="0"/>
        <w:jc w:val="both"/>
        <w:rPr>
          <w:rFonts w:ascii="Times New Roman" w:hAnsi="Times New Roman"/>
          <w:sz w:val="26"/>
        </w:rPr>
      </w:pPr>
      <w:r>
        <w:rPr>
          <w:rFonts w:ascii="Times New Roman" w:hAnsi="Times New Roman"/>
          <w:sz w:val="26"/>
        </w:rPr>
        <w:t xml:space="preserve">мебель для учащихся и воспитанников, театральная, специализированная для малоподвижных граждан </w:t>
      </w:r>
      <w:bookmarkStart w:id="15" w:name="_Hlk120273350"/>
      <w:r>
        <w:rPr>
          <w:rFonts w:ascii="Times New Roman" w:hAnsi="Times New Roman"/>
          <w:sz w:val="26"/>
        </w:rPr>
        <w:t xml:space="preserve">(субъект централизованного учета – дошкольные образовательные учреждения, образовательные учреждения, учреждения культуры, учреждения социальной политики); </w:t>
      </w:r>
      <w:bookmarkEnd w:id="15"/>
    </w:p>
    <w:p w:rsidR="005109DA" w:rsidRDefault="00000000">
      <w:pPr>
        <w:pStyle w:val="a3"/>
        <w:numPr>
          <w:ilvl w:val="0"/>
          <w:numId w:val="29"/>
        </w:numPr>
        <w:spacing w:before="220" w:after="0"/>
        <w:jc w:val="both"/>
        <w:rPr>
          <w:rFonts w:ascii="Times New Roman" w:hAnsi="Times New Roman"/>
          <w:sz w:val="26"/>
        </w:rPr>
      </w:pPr>
      <w:r>
        <w:rPr>
          <w:rFonts w:ascii="Times New Roman" w:hAnsi="Times New Roman"/>
          <w:sz w:val="26"/>
        </w:rPr>
        <w:t xml:space="preserve">мебель для пациентов (субъект централизованного учета – учреждения здравоохранения); </w:t>
      </w:r>
    </w:p>
    <w:p w:rsidR="005109DA" w:rsidRDefault="00000000">
      <w:pPr>
        <w:pStyle w:val="a3"/>
        <w:numPr>
          <w:ilvl w:val="0"/>
          <w:numId w:val="29"/>
        </w:numPr>
        <w:spacing w:before="220" w:after="0"/>
        <w:jc w:val="both"/>
        <w:rPr>
          <w:rFonts w:ascii="Times New Roman" w:hAnsi="Times New Roman"/>
          <w:sz w:val="26"/>
        </w:rPr>
      </w:pPr>
      <w:r>
        <w:rPr>
          <w:rFonts w:ascii="Times New Roman" w:hAnsi="Times New Roman"/>
          <w:sz w:val="26"/>
        </w:rPr>
        <w:t>приобретение костюмов и театральных реквизитов (субъект централизованного учета – учреждения культуры);</w:t>
      </w:r>
    </w:p>
    <w:p w:rsidR="005109DA" w:rsidRDefault="00000000">
      <w:pPr>
        <w:pStyle w:val="a3"/>
        <w:numPr>
          <w:ilvl w:val="0"/>
          <w:numId w:val="26"/>
        </w:numPr>
        <w:spacing w:before="220"/>
        <w:ind w:left="-426" w:firstLine="426"/>
        <w:jc w:val="both"/>
        <w:rPr>
          <w:rFonts w:ascii="Times New Roman" w:hAnsi="Times New Roman"/>
          <w:sz w:val="26"/>
        </w:rPr>
      </w:pPr>
      <w:r>
        <w:rPr>
          <w:rFonts w:ascii="Times New Roman" w:hAnsi="Times New Roman"/>
          <w:sz w:val="26"/>
        </w:rPr>
        <w:t>сумма амортизации основных средств стоимостью менее 10 000 рублей, которые используются в процессе оказания услуги.</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sz w:val="26"/>
        </w:rPr>
        <w:t>6.4. Принятие к бухгалтерскому учету общехозяйственных расходов отражается по дебету счета 0 109 80 000 "Общехозяйственные расходы".</w:t>
      </w:r>
    </w:p>
    <w:p w:rsidR="005109DA" w:rsidRDefault="005109DA">
      <w:pPr>
        <w:pStyle w:val="ConsPlusNormal"/>
        <w:spacing w:line="276" w:lineRule="auto"/>
        <w:ind w:left="-426" w:firstLine="426"/>
        <w:contextualSpacing/>
        <w:jc w:val="both"/>
        <w:rPr>
          <w:rFonts w:ascii="Times New Roman" w:hAnsi="Times New Roman"/>
          <w:i/>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6.5. В составе общехозяйственных расходов субъекта централизованного учета, учитываются:</w:t>
      </w:r>
    </w:p>
    <w:p w:rsidR="005109DA" w:rsidRDefault="00000000">
      <w:pPr>
        <w:pStyle w:val="a3"/>
        <w:numPr>
          <w:ilvl w:val="0"/>
          <w:numId w:val="26"/>
        </w:numPr>
        <w:spacing w:after="0"/>
        <w:ind w:left="-426" w:firstLine="426"/>
        <w:jc w:val="both"/>
        <w:rPr>
          <w:rFonts w:ascii="Times New Roman" w:hAnsi="Times New Roman"/>
          <w:sz w:val="26"/>
        </w:rPr>
      </w:pPr>
      <w:r>
        <w:rPr>
          <w:rFonts w:ascii="Times New Roman" w:hAnsi="Times New Roman"/>
          <w:sz w:val="26"/>
        </w:rPr>
        <w:t>затраты на оплату труда и начисления на выплаты по оплате труда работников, не принимающих непосредственного участия в оказании услуги:</w:t>
      </w:r>
    </w:p>
    <w:p w:rsidR="005109DA" w:rsidRDefault="00000000">
      <w:pPr>
        <w:pStyle w:val="a3"/>
        <w:numPr>
          <w:ilvl w:val="0"/>
          <w:numId w:val="30"/>
        </w:numPr>
        <w:spacing w:after="0"/>
        <w:jc w:val="both"/>
        <w:rPr>
          <w:rFonts w:ascii="Times New Roman" w:hAnsi="Times New Roman"/>
          <w:sz w:val="26"/>
        </w:rPr>
      </w:pPr>
      <w:r>
        <w:rPr>
          <w:rFonts w:ascii="Times New Roman" w:hAnsi="Times New Roman"/>
          <w:sz w:val="26"/>
        </w:rPr>
        <w:t>административно-управленческий персонал;</w:t>
      </w:r>
    </w:p>
    <w:p w:rsidR="005109DA" w:rsidRDefault="00000000">
      <w:pPr>
        <w:pStyle w:val="a3"/>
        <w:numPr>
          <w:ilvl w:val="0"/>
          <w:numId w:val="30"/>
        </w:numPr>
        <w:spacing w:after="0"/>
        <w:jc w:val="both"/>
        <w:rPr>
          <w:rFonts w:ascii="Times New Roman" w:hAnsi="Times New Roman"/>
          <w:sz w:val="26"/>
        </w:rPr>
      </w:pPr>
      <w:r>
        <w:rPr>
          <w:rFonts w:ascii="Times New Roman" w:hAnsi="Times New Roman"/>
          <w:sz w:val="26"/>
        </w:rPr>
        <w:t>административно-хозяйственный персонал;</w:t>
      </w:r>
    </w:p>
    <w:p w:rsidR="005109DA" w:rsidRDefault="00000000">
      <w:pPr>
        <w:pStyle w:val="a3"/>
        <w:numPr>
          <w:ilvl w:val="0"/>
          <w:numId w:val="30"/>
        </w:numPr>
        <w:spacing w:after="0"/>
        <w:jc w:val="both"/>
        <w:rPr>
          <w:rFonts w:ascii="Times New Roman" w:hAnsi="Times New Roman"/>
          <w:sz w:val="26"/>
        </w:rPr>
      </w:pPr>
      <w:r>
        <w:rPr>
          <w:rFonts w:ascii="Times New Roman" w:hAnsi="Times New Roman"/>
          <w:sz w:val="26"/>
        </w:rPr>
        <w:t>прочий обслуживающий персонал.</w:t>
      </w:r>
    </w:p>
    <w:p w:rsidR="005109DA" w:rsidRDefault="00000000">
      <w:pPr>
        <w:pStyle w:val="a3"/>
        <w:numPr>
          <w:ilvl w:val="0"/>
          <w:numId w:val="28"/>
        </w:numPr>
        <w:spacing w:after="0"/>
        <w:ind w:left="709" w:hanging="709"/>
        <w:jc w:val="both"/>
        <w:rPr>
          <w:rFonts w:ascii="Times New Roman" w:hAnsi="Times New Roman"/>
          <w:sz w:val="26"/>
        </w:rPr>
      </w:pPr>
      <w:r>
        <w:rPr>
          <w:rFonts w:ascii="Times New Roman" w:hAnsi="Times New Roman"/>
          <w:sz w:val="26"/>
        </w:rPr>
        <w:t>затраты на оплату услуг связи;</w:t>
      </w:r>
    </w:p>
    <w:p w:rsidR="005109DA" w:rsidRDefault="00000000">
      <w:pPr>
        <w:pStyle w:val="a3"/>
        <w:numPr>
          <w:ilvl w:val="0"/>
          <w:numId w:val="26"/>
        </w:numPr>
        <w:spacing w:before="260" w:after="0"/>
        <w:ind w:left="-426" w:firstLine="426"/>
        <w:jc w:val="both"/>
        <w:rPr>
          <w:rFonts w:ascii="Times New Roman" w:hAnsi="Times New Roman"/>
          <w:sz w:val="26"/>
        </w:rPr>
      </w:pPr>
      <w:r>
        <w:rPr>
          <w:rFonts w:ascii="Times New Roman" w:hAnsi="Times New Roman"/>
          <w:sz w:val="26"/>
        </w:rPr>
        <w:t>затраты на оплату коммунальных услуг;</w:t>
      </w:r>
    </w:p>
    <w:p w:rsidR="005109DA" w:rsidRDefault="00000000">
      <w:pPr>
        <w:pStyle w:val="a3"/>
        <w:numPr>
          <w:ilvl w:val="0"/>
          <w:numId w:val="26"/>
        </w:numPr>
        <w:spacing w:before="260" w:after="0"/>
        <w:ind w:left="-426" w:firstLine="426"/>
        <w:jc w:val="both"/>
        <w:rPr>
          <w:rFonts w:ascii="Times New Roman" w:hAnsi="Times New Roman"/>
          <w:sz w:val="26"/>
        </w:rPr>
      </w:pPr>
      <w:r>
        <w:rPr>
          <w:rFonts w:ascii="Times New Roman" w:hAnsi="Times New Roman"/>
          <w:sz w:val="26"/>
        </w:rPr>
        <w:t>затраты на оплату транспортных услуг;</w:t>
      </w:r>
    </w:p>
    <w:p w:rsidR="005109DA" w:rsidRDefault="00000000">
      <w:pPr>
        <w:pStyle w:val="a3"/>
        <w:numPr>
          <w:ilvl w:val="0"/>
          <w:numId w:val="26"/>
        </w:numPr>
        <w:ind w:hanging="720"/>
        <w:jc w:val="both"/>
        <w:rPr>
          <w:rFonts w:ascii="Times New Roman" w:hAnsi="Times New Roman"/>
          <w:sz w:val="26"/>
        </w:rPr>
      </w:pPr>
      <w:r>
        <w:rPr>
          <w:rFonts w:ascii="Times New Roman" w:hAnsi="Times New Roman"/>
          <w:sz w:val="26"/>
        </w:rPr>
        <w:t>затраты по содержанию недвижимого имущества и особо ценного движимого имущества, приобретенного за счет субсидий на выполнение государственного (муниципального) задания;</w:t>
      </w:r>
    </w:p>
    <w:p w:rsidR="005109DA" w:rsidRDefault="00000000">
      <w:pPr>
        <w:pStyle w:val="a3"/>
        <w:numPr>
          <w:ilvl w:val="0"/>
          <w:numId w:val="26"/>
        </w:numPr>
        <w:spacing w:before="260" w:after="0"/>
        <w:ind w:left="-426" w:firstLine="426"/>
        <w:jc w:val="both"/>
        <w:rPr>
          <w:rFonts w:ascii="Times New Roman" w:hAnsi="Times New Roman"/>
          <w:sz w:val="26"/>
        </w:rPr>
      </w:pPr>
      <w:r>
        <w:rPr>
          <w:rFonts w:ascii="Times New Roman" w:hAnsi="Times New Roman"/>
          <w:sz w:val="26"/>
        </w:rPr>
        <w:t>затраты на содержание транспорта (автобус, мотоцикл, машина станции переливания крови, легковые автомобили, используемые в рамках ОМС);</w:t>
      </w:r>
    </w:p>
    <w:p w:rsidR="005109DA" w:rsidRDefault="00000000">
      <w:pPr>
        <w:pStyle w:val="a3"/>
        <w:numPr>
          <w:ilvl w:val="0"/>
          <w:numId w:val="26"/>
        </w:numPr>
        <w:spacing w:before="260" w:after="0"/>
        <w:ind w:left="-426" w:firstLine="426"/>
        <w:jc w:val="both"/>
        <w:rPr>
          <w:rFonts w:ascii="Times New Roman" w:hAnsi="Times New Roman"/>
          <w:sz w:val="26"/>
        </w:rPr>
      </w:pPr>
      <w:r>
        <w:rPr>
          <w:rFonts w:ascii="Times New Roman" w:hAnsi="Times New Roman"/>
          <w:sz w:val="26"/>
        </w:rPr>
        <w:t>затраты на оплату прочих работ, услуг;</w:t>
      </w:r>
    </w:p>
    <w:p w:rsidR="005109DA" w:rsidRDefault="00000000">
      <w:pPr>
        <w:pStyle w:val="a3"/>
        <w:numPr>
          <w:ilvl w:val="0"/>
          <w:numId w:val="26"/>
        </w:numPr>
        <w:spacing w:before="220" w:after="0"/>
        <w:ind w:left="-426" w:firstLine="426"/>
        <w:jc w:val="both"/>
        <w:rPr>
          <w:rFonts w:ascii="Times New Roman" w:hAnsi="Times New Roman"/>
          <w:sz w:val="26"/>
        </w:rPr>
      </w:pPr>
      <w:r>
        <w:rPr>
          <w:rFonts w:ascii="Times New Roman" w:hAnsi="Times New Roman"/>
          <w:sz w:val="26"/>
        </w:rPr>
        <w:t>затраты на охрану;</w:t>
      </w:r>
    </w:p>
    <w:p w:rsidR="005109DA" w:rsidRDefault="00000000">
      <w:pPr>
        <w:pStyle w:val="a3"/>
        <w:numPr>
          <w:ilvl w:val="0"/>
          <w:numId w:val="26"/>
        </w:numPr>
        <w:spacing w:after="0"/>
        <w:ind w:left="-426" w:firstLine="426"/>
        <w:jc w:val="both"/>
        <w:rPr>
          <w:rFonts w:ascii="Times New Roman" w:hAnsi="Times New Roman"/>
          <w:sz w:val="26"/>
        </w:rPr>
      </w:pPr>
      <w:r>
        <w:rPr>
          <w:rFonts w:ascii="Times New Roman" w:hAnsi="Times New Roman"/>
          <w:sz w:val="26"/>
        </w:rPr>
        <w:t>материальные запасы, израсходованные на общехозяйственные нужды субъекта централизованного учета на цели, не связанные напрямую с оказанием услуг, отраженные по Коду ОСГУ 310 и 340, за исключением затрат отнесенных                                 на счет 0 109 61 000 "Себестоимость готовой продукции, работ, услуг";</w:t>
      </w:r>
    </w:p>
    <w:p w:rsidR="005109DA" w:rsidRDefault="00000000">
      <w:pPr>
        <w:pStyle w:val="a3"/>
        <w:numPr>
          <w:ilvl w:val="0"/>
          <w:numId w:val="28"/>
        </w:numPr>
        <w:spacing w:after="0"/>
        <w:ind w:hanging="782"/>
        <w:jc w:val="both"/>
        <w:rPr>
          <w:rFonts w:ascii="Times New Roman" w:hAnsi="Times New Roman"/>
          <w:sz w:val="26"/>
        </w:rPr>
      </w:pPr>
      <w:r>
        <w:rPr>
          <w:rFonts w:ascii="Times New Roman" w:hAnsi="Times New Roman"/>
          <w:sz w:val="26"/>
        </w:rPr>
        <w:t>затраты на прочие работы и услуги на общехозяйственные нужды.</w:t>
      </w:r>
    </w:p>
    <w:p w:rsidR="005109DA" w:rsidRDefault="00000000">
      <w:pPr>
        <w:pStyle w:val="ConsPlusNormal"/>
        <w:ind w:left="-426" w:firstLine="426"/>
        <w:contextualSpacing/>
        <w:jc w:val="both"/>
        <w:rPr>
          <w:rFonts w:ascii="Times New Roman" w:hAnsi="Times New Roman"/>
          <w:i/>
          <w:sz w:val="26"/>
        </w:rPr>
      </w:pPr>
      <w:r>
        <w:rPr>
          <w:rFonts w:ascii="Times New Roman" w:hAnsi="Times New Roman"/>
          <w:i/>
          <w:sz w:val="26"/>
        </w:rPr>
        <w:t xml:space="preserve"> (Основание: п. п. п. 134,135,138 Инструкции № 157н, п. 60,61</w:t>
      </w:r>
      <w:r>
        <w:t xml:space="preserve"> </w:t>
      </w:r>
      <w:r>
        <w:rPr>
          <w:rFonts w:ascii="Times New Roman" w:hAnsi="Times New Roman"/>
          <w:i/>
          <w:sz w:val="26"/>
        </w:rPr>
        <w:t>Инструкции № 174н)</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sz w:val="26"/>
        </w:rPr>
        <w:t xml:space="preserve">6.6. Общехозяйственные расходы субъекта централизованного учета, произведенные за отчетный месяц, распределяются на себестоимость услуг                 </w:t>
      </w:r>
      <w:r>
        <w:rPr>
          <w:rFonts w:ascii="Times New Roman" w:hAnsi="Times New Roman"/>
          <w:i/>
          <w:sz w:val="26"/>
        </w:rPr>
        <w:t xml:space="preserve">Кредит 0 109 80 000  Дебет  0 109 60 000.   </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sz w:val="26"/>
        </w:rPr>
        <w:t xml:space="preserve"> </w:t>
      </w:r>
      <w:r>
        <w:rPr>
          <w:rFonts w:ascii="Times New Roman" w:hAnsi="Times New Roman"/>
          <w:i/>
          <w:sz w:val="26"/>
        </w:rPr>
        <w:t>(Основание: п. 134 Инструкции № 174н)</w:t>
      </w:r>
      <w:bookmarkEnd w:id="13"/>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6.7. В последний день отчетного месяца себестоимость услуг за отчетный месяц, сформированная </w:t>
      </w:r>
      <w:r>
        <w:rPr>
          <w:rFonts w:ascii="Times New Roman" w:hAnsi="Times New Roman"/>
          <w:i/>
          <w:sz w:val="26"/>
        </w:rPr>
        <w:t xml:space="preserve">по Кредиту 0 109 60 000 </w:t>
      </w:r>
      <w:r>
        <w:rPr>
          <w:rFonts w:ascii="Times New Roman" w:hAnsi="Times New Roman"/>
          <w:sz w:val="26"/>
        </w:rPr>
        <w:t xml:space="preserve">списывается </w:t>
      </w:r>
      <w:r>
        <w:rPr>
          <w:rFonts w:ascii="Times New Roman" w:hAnsi="Times New Roman"/>
          <w:i/>
          <w:sz w:val="26"/>
        </w:rPr>
        <w:t>в Дебет  0 401 10 131</w:t>
      </w:r>
      <w:r>
        <w:rPr>
          <w:rFonts w:ascii="Times New Roman" w:hAnsi="Times New Roman"/>
          <w:sz w:val="26"/>
        </w:rPr>
        <w:t xml:space="preserve"> «Доходы от оказания платных услуг (работ).   </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sz w:val="26"/>
        </w:rPr>
        <w:t xml:space="preserve"> </w:t>
      </w:r>
      <w:r>
        <w:rPr>
          <w:rFonts w:ascii="Times New Roman" w:hAnsi="Times New Roman"/>
          <w:i/>
          <w:sz w:val="26"/>
        </w:rPr>
        <w:t>(Основание: п. 134 Инструкции № 174н)</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6.8. Расходами текущего финансового месяца, которые не включаются                                 в себестоимость и сразу списываются на финансовый результат текущего финансового года (</w:t>
      </w:r>
      <w:r>
        <w:rPr>
          <w:rFonts w:ascii="Times New Roman" w:hAnsi="Times New Roman"/>
          <w:i/>
          <w:sz w:val="26"/>
        </w:rPr>
        <w:t>счет 0 401 20 000</w:t>
      </w:r>
      <w:r>
        <w:rPr>
          <w:rFonts w:ascii="Times New Roman" w:hAnsi="Times New Roman"/>
          <w:sz w:val="26"/>
        </w:rPr>
        <w:t>) признаются:</w:t>
      </w:r>
    </w:p>
    <w:p w:rsidR="005109DA" w:rsidRDefault="00000000">
      <w:pPr>
        <w:pStyle w:val="ConsPlusNormal"/>
        <w:numPr>
          <w:ilvl w:val="0"/>
          <w:numId w:val="31"/>
        </w:numPr>
        <w:spacing w:before="220" w:line="276" w:lineRule="auto"/>
        <w:ind w:left="0" w:firstLine="0"/>
        <w:contextualSpacing/>
        <w:jc w:val="both"/>
        <w:rPr>
          <w:rFonts w:ascii="Times New Roman" w:hAnsi="Times New Roman"/>
          <w:sz w:val="26"/>
        </w:rPr>
      </w:pPr>
      <w:r>
        <w:rPr>
          <w:rFonts w:ascii="Times New Roman" w:hAnsi="Times New Roman"/>
          <w:sz w:val="26"/>
        </w:rPr>
        <w:t>затраты, произведенные из средств бюджета и субсидий на иные цели;</w:t>
      </w:r>
    </w:p>
    <w:p w:rsidR="005109DA" w:rsidRDefault="00000000">
      <w:pPr>
        <w:pStyle w:val="ConsPlusNormal"/>
        <w:numPr>
          <w:ilvl w:val="0"/>
          <w:numId w:val="32"/>
        </w:numPr>
        <w:spacing w:before="220" w:line="276" w:lineRule="auto"/>
        <w:ind w:left="0" w:firstLine="0"/>
        <w:contextualSpacing/>
        <w:jc w:val="both"/>
        <w:rPr>
          <w:rFonts w:ascii="Times New Roman" w:hAnsi="Times New Roman"/>
          <w:sz w:val="26"/>
        </w:rPr>
      </w:pPr>
      <w:r>
        <w:rPr>
          <w:rFonts w:ascii="Times New Roman" w:hAnsi="Times New Roman"/>
          <w:sz w:val="26"/>
        </w:rPr>
        <w:t>затраты по начислению амортизации на объекты основных средств, стоимостью свыше 10 000 руб. включительно;</w:t>
      </w:r>
    </w:p>
    <w:p w:rsidR="005109DA" w:rsidRDefault="00000000">
      <w:pPr>
        <w:pStyle w:val="ConsPlusNormal"/>
        <w:numPr>
          <w:ilvl w:val="0"/>
          <w:numId w:val="32"/>
        </w:numPr>
        <w:spacing w:before="220" w:line="276" w:lineRule="auto"/>
        <w:ind w:left="0" w:firstLine="0"/>
        <w:contextualSpacing/>
        <w:jc w:val="both"/>
        <w:rPr>
          <w:rFonts w:ascii="Times New Roman" w:hAnsi="Times New Roman"/>
          <w:sz w:val="26"/>
        </w:rPr>
      </w:pPr>
      <w:r>
        <w:rPr>
          <w:rFonts w:ascii="Times New Roman" w:hAnsi="Times New Roman"/>
          <w:sz w:val="26"/>
        </w:rPr>
        <w:t xml:space="preserve">затраты на оплату государственных пошлин за получение документов, необходимых для ведения деятельности (внесение изменений в учредительные документы, получение лицензии, свидетельства и т.п.); </w:t>
      </w:r>
    </w:p>
    <w:p w:rsidR="005109DA" w:rsidRDefault="00000000">
      <w:pPr>
        <w:pStyle w:val="ConsPlusNormal"/>
        <w:numPr>
          <w:ilvl w:val="0"/>
          <w:numId w:val="32"/>
        </w:numPr>
        <w:spacing w:before="220" w:line="276" w:lineRule="auto"/>
        <w:ind w:left="0" w:firstLine="0"/>
        <w:contextualSpacing/>
        <w:jc w:val="both"/>
        <w:rPr>
          <w:rFonts w:ascii="Times New Roman" w:hAnsi="Times New Roman"/>
          <w:sz w:val="26"/>
        </w:rPr>
      </w:pPr>
      <w:r>
        <w:rPr>
          <w:rFonts w:ascii="Times New Roman" w:hAnsi="Times New Roman"/>
          <w:sz w:val="26"/>
        </w:rPr>
        <w:t xml:space="preserve">затраты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субсидий, выделенных учредителем, приобретенное за счет собственных средств (транспортный, земельный налог, налог на имущество);  </w:t>
      </w:r>
    </w:p>
    <w:p w:rsidR="005109DA" w:rsidRDefault="00000000">
      <w:pPr>
        <w:pStyle w:val="ConsPlusNormal"/>
        <w:numPr>
          <w:ilvl w:val="0"/>
          <w:numId w:val="33"/>
        </w:numPr>
        <w:spacing w:before="220" w:line="276" w:lineRule="auto"/>
        <w:ind w:left="0" w:firstLine="0"/>
        <w:contextualSpacing/>
        <w:jc w:val="both"/>
        <w:rPr>
          <w:rFonts w:ascii="Times New Roman" w:hAnsi="Times New Roman"/>
          <w:sz w:val="26"/>
        </w:rPr>
      </w:pPr>
      <w:r>
        <w:rPr>
          <w:rFonts w:ascii="Times New Roman" w:hAnsi="Times New Roman"/>
          <w:sz w:val="26"/>
        </w:rPr>
        <w:t>затраты на социальное обеспечение населения;</w:t>
      </w:r>
    </w:p>
    <w:p w:rsidR="005109DA" w:rsidRDefault="00000000">
      <w:pPr>
        <w:pStyle w:val="ConsPlusNormal"/>
        <w:numPr>
          <w:ilvl w:val="0"/>
          <w:numId w:val="33"/>
        </w:numPr>
        <w:spacing w:before="220" w:line="276" w:lineRule="auto"/>
        <w:ind w:left="0" w:firstLine="0"/>
        <w:contextualSpacing/>
        <w:jc w:val="both"/>
        <w:rPr>
          <w:rFonts w:ascii="Times New Roman" w:hAnsi="Times New Roman"/>
          <w:sz w:val="26"/>
        </w:rPr>
      </w:pPr>
      <w:r>
        <w:rPr>
          <w:rFonts w:ascii="Times New Roman" w:hAnsi="Times New Roman"/>
          <w:sz w:val="26"/>
        </w:rPr>
        <w:t>затраты на содержание транспорта (служебная машина);</w:t>
      </w:r>
    </w:p>
    <w:p w:rsidR="005109DA" w:rsidRDefault="00000000">
      <w:pPr>
        <w:pStyle w:val="ConsPlusNormal"/>
        <w:numPr>
          <w:ilvl w:val="0"/>
          <w:numId w:val="33"/>
        </w:numPr>
        <w:spacing w:before="220" w:line="276" w:lineRule="auto"/>
        <w:ind w:left="0" w:firstLine="0"/>
        <w:contextualSpacing/>
        <w:jc w:val="both"/>
        <w:rPr>
          <w:rFonts w:ascii="Times New Roman" w:hAnsi="Times New Roman"/>
          <w:sz w:val="26"/>
        </w:rPr>
      </w:pPr>
      <w:r>
        <w:rPr>
          <w:rFonts w:ascii="Times New Roman" w:hAnsi="Times New Roman"/>
          <w:sz w:val="26"/>
        </w:rPr>
        <w:t>затраты на оплату консультационных и информационных услуг;</w:t>
      </w:r>
    </w:p>
    <w:p w:rsidR="005109DA" w:rsidRDefault="00000000">
      <w:pPr>
        <w:pStyle w:val="ConsPlusNormal"/>
        <w:numPr>
          <w:ilvl w:val="0"/>
          <w:numId w:val="33"/>
        </w:numPr>
        <w:spacing w:before="220" w:line="276" w:lineRule="auto"/>
        <w:ind w:left="0" w:firstLine="0"/>
        <w:contextualSpacing/>
        <w:jc w:val="both"/>
        <w:rPr>
          <w:rFonts w:ascii="Times New Roman" w:hAnsi="Times New Roman"/>
          <w:sz w:val="26"/>
        </w:rPr>
      </w:pPr>
      <w:r>
        <w:rPr>
          <w:rFonts w:ascii="Times New Roman" w:hAnsi="Times New Roman"/>
          <w:sz w:val="26"/>
        </w:rPr>
        <w:t>затраты, связанные с утилизацией имущества, признанного непригодным для дальнейшего использования;</w:t>
      </w:r>
    </w:p>
    <w:p w:rsidR="005109DA" w:rsidRDefault="00000000">
      <w:pPr>
        <w:pStyle w:val="ConsPlusNormal"/>
        <w:numPr>
          <w:ilvl w:val="0"/>
          <w:numId w:val="33"/>
        </w:numPr>
        <w:spacing w:before="220" w:line="276" w:lineRule="auto"/>
        <w:ind w:left="0" w:firstLine="0"/>
        <w:contextualSpacing/>
        <w:jc w:val="both"/>
        <w:rPr>
          <w:rFonts w:ascii="Times New Roman" w:hAnsi="Times New Roman"/>
          <w:sz w:val="26"/>
        </w:rPr>
      </w:pPr>
      <w:r>
        <w:rPr>
          <w:rFonts w:ascii="Times New Roman" w:hAnsi="Times New Roman"/>
          <w:sz w:val="26"/>
        </w:rPr>
        <w:t>затраты по начислению амортизации на объекты нематериальных активов;</w:t>
      </w:r>
    </w:p>
    <w:p w:rsidR="005109DA" w:rsidRDefault="00000000">
      <w:pPr>
        <w:pStyle w:val="ConsPlusNormal"/>
        <w:numPr>
          <w:ilvl w:val="0"/>
          <w:numId w:val="33"/>
        </w:numPr>
        <w:spacing w:before="220" w:line="276" w:lineRule="auto"/>
        <w:ind w:left="0" w:firstLine="0"/>
        <w:contextualSpacing/>
        <w:jc w:val="both"/>
        <w:rPr>
          <w:rFonts w:ascii="Times New Roman" w:hAnsi="Times New Roman"/>
          <w:sz w:val="26"/>
        </w:rPr>
      </w:pPr>
      <w:r>
        <w:rPr>
          <w:rFonts w:ascii="Times New Roman" w:hAnsi="Times New Roman"/>
          <w:sz w:val="26"/>
        </w:rPr>
        <w:t>затраты на оплату услуг по страхованию;</w:t>
      </w:r>
    </w:p>
    <w:p w:rsidR="005109DA" w:rsidRDefault="00000000">
      <w:pPr>
        <w:pStyle w:val="ConsPlusNormal"/>
        <w:numPr>
          <w:ilvl w:val="0"/>
          <w:numId w:val="33"/>
        </w:numPr>
        <w:spacing w:before="220" w:line="276" w:lineRule="auto"/>
        <w:ind w:left="0" w:firstLine="0"/>
        <w:contextualSpacing/>
        <w:jc w:val="both"/>
        <w:rPr>
          <w:rFonts w:ascii="Times New Roman" w:hAnsi="Times New Roman"/>
          <w:sz w:val="26"/>
        </w:rPr>
      </w:pPr>
      <w:r>
        <w:rPr>
          <w:rFonts w:ascii="Times New Roman" w:hAnsi="Times New Roman"/>
          <w:sz w:val="26"/>
        </w:rPr>
        <w:t>затраты по начислению амортизации на объекты библиотечного фонда;</w:t>
      </w:r>
    </w:p>
    <w:p w:rsidR="005109DA" w:rsidRDefault="00000000">
      <w:pPr>
        <w:pStyle w:val="ConsPlusNormal"/>
        <w:numPr>
          <w:ilvl w:val="0"/>
          <w:numId w:val="33"/>
        </w:numPr>
        <w:spacing w:before="220" w:line="276" w:lineRule="auto"/>
        <w:ind w:left="0" w:firstLine="0"/>
        <w:contextualSpacing/>
        <w:jc w:val="both"/>
        <w:rPr>
          <w:rFonts w:ascii="Times New Roman" w:hAnsi="Times New Roman"/>
          <w:sz w:val="26"/>
        </w:rPr>
      </w:pPr>
      <w:r>
        <w:rPr>
          <w:rFonts w:ascii="Times New Roman" w:hAnsi="Times New Roman"/>
          <w:sz w:val="26"/>
        </w:rPr>
        <w:t>вручение наград, призов, кубков, ценных подарков (сувенирной продукции);</w:t>
      </w:r>
    </w:p>
    <w:p w:rsidR="005109DA" w:rsidRDefault="00000000">
      <w:pPr>
        <w:pStyle w:val="ConsPlusNormal"/>
        <w:numPr>
          <w:ilvl w:val="0"/>
          <w:numId w:val="33"/>
        </w:numPr>
        <w:spacing w:before="220" w:line="276" w:lineRule="auto"/>
        <w:ind w:left="0" w:firstLine="0"/>
        <w:contextualSpacing/>
        <w:jc w:val="both"/>
        <w:rPr>
          <w:rFonts w:ascii="Times New Roman" w:hAnsi="Times New Roman"/>
          <w:sz w:val="26"/>
        </w:rPr>
      </w:pPr>
      <w:r>
        <w:rPr>
          <w:rFonts w:ascii="Times New Roman" w:hAnsi="Times New Roman"/>
          <w:sz w:val="26"/>
        </w:rPr>
        <w:t>процентные расходы по договору лизинга;</w:t>
      </w:r>
    </w:p>
    <w:p w:rsidR="005109DA" w:rsidRDefault="00000000">
      <w:pPr>
        <w:pStyle w:val="ConsPlusNormal"/>
        <w:numPr>
          <w:ilvl w:val="0"/>
          <w:numId w:val="33"/>
        </w:numPr>
        <w:spacing w:before="220" w:line="276" w:lineRule="auto"/>
        <w:ind w:left="0" w:firstLine="0"/>
        <w:contextualSpacing/>
        <w:jc w:val="both"/>
        <w:rPr>
          <w:rFonts w:ascii="Times New Roman" w:hAnsi="Times New Roman"/>
          <w:sz w:val="26"/>
        </w:rPr>
      </w:pPr>
      <w:r>
        <w:rPr>
          <w:rFonts w:ascii="Times New Roman" w:hAnsi="Times New Roman"/>
          <w:sz w:val="26"/>
        </w:rPr>
        <w:t>затраты на оплату арендной платы за пользование имуществом, в том числе коммунальных услуг;</w:t>
      </w:r>
    </w:p>
    <w:p w:rsidR="005109DA" w:rsidRDefault="00000000">
      <w:pPr>
        <w:pStyle w:val="ConsPlusNormal"/>
        <w:numPr>
          <w:ilvl w:val="0"/>
          <w:numId w:val="33"/>
        </w:numPr>
        <w:spacing w:before="220" w:line="276" w:lineRule="auto"/>
        <w:ind w:left="0" w:firstLine="0"/>
        <w:contextualSpacing/>
        <w:jc w:val="both"/>
        <w:rPr>
          <w:rFonts w:ascii="Times New Roman" w:hAnsi="Times New Roman"/>
          <w:sz w:val="26"/>
        </w:rPr>
      </w:pPr>
      <w:r>
        <w:rPr>
          <w:rFonts w:ascii="Times New Roman" w:hAnsi="Times New Roman"/>
          <w:sz w:val="26"/>
        </w:rPr>
        <w:t xml:space="preserve">расходы, связанные с приведением объектов непроизведенных активов                             в состояние,  пригодное для использования; </w:t>
      </w:r>
    </w:p>
    <w:p w:rsidR="005109DA" w:rsidRDefault="00000000">
      <w:pPr>
        <w:pStyle w:val="ConsPlusNormal"/>
        <w:numPr>
          <w:ilvl w:val="0"/>
          <w:numId w:val="33"/>
        </w:numPr>
        <w:spacing w:before="220" w:line="276" w:lineRule="auto"/>
        <w:ind w:left="0" w:firstLine="0"/>
        <w:contextualSpacing/>
        <w:jc w:val="both"/>
        <w:rPr>
          <w:rFonts w:ascii="Times New Roman" w:hAnsi="Times New Roman"/>
          <w:sz w:val="26"/>
        </w:rPr>
      </w:pPr>
      <w:r>
        <w:rPr>
          <w:rFonts w:ascii="Times New Roman" w:hAnsi="Times New Roman"/>
          <w:sz w:val="26"/>
        </w:rPr>
        <w:t xml:space="preserve">суммы  амортизационных   отчислений   по   имуществу,   полученному безвозмездно  по  договорам  пожертвования;                                                   </w:t>
      </w:r>
    </w:p>
    <w:p w:rsidR="005109DA" w:rsidRDefault="00000000">
      <w:pPr>
        <w:pStyle w:val="ConsPlusNormal"/>
        <w:numPr>
          <w:ilvl w:val="0"/>
          <w:numId w:val="33"/>
        </w:numPr>
        <w:spacing w:before="220" w:line="276" w:lineRule="auto"/>
        <w:ind w:left="0" w:firstLine="0"/>
        <w:contextualSpacing/>
        <w:jc w:val="both"/>
        <w:rPr>
          <w:rFonts w:ascii="Times New Roman" w:hAnsi="Times New Roman"/>
          <w:sz w:val="26"/>
        </w:rPr>
      </w:pPr>
      <w:r>
        <w:rPr>
          <w:rFonts w:ascii="Times New Roman" w:hAnsi="Times New Roman"/>
          <w:sz w:val="26"/>
        </w:rPr>
        <w:t xml:space="preserve">штрафные санкции, пени, неустойки, госпошлина и исполнительные документы, присужденные решениями судов; </w:t>
      </w:r>
    </w:p>
    <w:p w:rsidR="005109DA" w:rsidRDefault="00000000">
      <w:pPr>
        <w:pStyle w:val="ConsPlusNormal"/>
        <w:numPr>
          <w:ilvl w:val="0"/>
          <w:numId w:val="33"/>
        </w:numPr>
        <w:spacing w:before="220" w:line="276" w:lineRule="auto"/>
        <w:ind w:left="0" w:firstLine="0"/>
        <w:contextualSpacing/>
        <w:jc w:val="both"/>
        <w:rPr>
          <w:rFonts w:ascii="Times New Roman" w:hAnsi="Times New Roman"/>
          <w:i/>
          <w:sz w:val="26"/>
        </w:rPr>
      </w:pPr>
      <w:r>
        <w:rPr>
          <w:rFonts w:ascii="Times New Roman" w:hAnsi="Times New Roman"/>
          <w:sz w:val="26"/>
        </w:rPr>
        <w:t>чрезвычайные расходы</w:t>
      </w:r>
      <w:r>
        <w:rPr>
          <w:rFonts w:ascii="Times New Roman" w:hAnsi="Times New Roman"/>
          <w:i/>
          <w:sz w:val="26"/>
        </w:rPr>
        <w:t xml:space="preserve">;                                              </w:t>
      </w:r>
    </w:p>
    <w:p w:rsidR="005109DA" w:rsidRDefault="00000000">
      <w:pPr>
        <w:pStyle w:val="ConsPlusNormal"/>
        <w:numPr>
          <w:ilvl w:val="0"/>
          <w:numId w:val="33"/>
        </w:numPr>
        <w:spacing w:before="220" w:line="276" w:lineRule="auto"/>
        <w:ind w:left="0" w:firstLine="0"/>
        <w:contextualSpacing/>
        <w:jc w:val="both"/>
        <w:rPr>
          <w:rFonts w:ascii="Times New Roman" w:hAnsi="Times New Roman"/>
          <w:sz w:val="26"/>
        </w:rPr>
      </w:pPr>
      <w:r>
        <w:rPr>
          <w:rFonts w:ascii="Times New Roman" w:hAnsi="Times New Roman"/>
          <w:sz w:val="26"/>
        </w:rPr>
        <w:t>списанная дебиторская задолженность, безнадежная к взысканию;</w:t>
      </w:r>
    </w:p>
    <w:p w:rsidR="005109DA" w:rsidRDefault="00000000">
      <w:pPr>
        <w:pStyle w:val="ConsPlusNormal"/>
        <w:numPr>
          <w:ilvl w:val="0"/>
          <w:numId w:val="33"/>
        </w:numPr>
        <w:spacing w:before="220" w:line="276" w:lineRule="auto"/>
        <w:ind w:left="0" w:firstLine="0"/>
        <w:contextualSpacing/>
        <w:jc w:val="both"/>
        <w:rPr>
          <w:rFonts w:ascii="Times New Roman" w:hAnsi="Times New Roman"/>
          <w:sz w:val="26"/>
        </w:rPr>
      </w:pPr>
      <w:r>
        <w:rPr>
          <w:rFonts w:ascii="Times New Roman" w:hAnsi="Times New Roman"/>
          <w:sz w:val="26"/>
        </w:rPr>
        <w:t>другие расходы.</w:t>
      </w:r>
    </w:p>
    <w:p w:rsidR="005109DA" w:rsidRDefault="00000000">
      <w:pPr>
        <w:rPr>
          <w:rFonts w:ascii="Times New Roman" w:hAnsi="Times New Roman"/>
          <w:i/>
          <w:sz w:val="26"/>
        </w:rPr>
      </w:pPr>
      <w:r>
        <w:rPr>
          <w:rFonts w:ascii="Times New Roman" w:hAnsi="Times New Roman"/>
          <w:i/>
          <w:sz w:val="26"/>
        </w:rPr>
        <w:t>(Основание: п. 153  Инструкции № 174н)</w:t>
      </w:r>
    </w:p>
    <w:p w:rsidR="005109DA" w:rsidRDefault="00000000">
      <w:pPr>
        <w:pStyle w:val="ConsPlusNormal"/>
        <w:spacing w:before="220"/>
        <w:ind w:left="-426" w:firstLine="426"/>
        <w:contextualSpacing/>
        <w:jc w:val="center"/>
        <w:rPr>
          <w:rFonts w:ascii="Times New Roman" w:hAnsi="Times New Roman"/>
          <w:b/>
          <w:sz w:val="26"/>
        </w:rPr>
      </w:pPr>
      <w:r>
        <w:rPr>
          <w:rFonts w:ascii="Times New Roman" w:hAnsi="Times New Roman"/>
          <w:b/>
          <w:sz w:val="26"/>
        </w:rPr>
        <w:t>7. Расчеты с подотчетными лицами</w:t>
      </w:r>
    </w:p>
    <w:p w:rsidR="005109DA" w:rsidRDefault="005109DA">
      <w:pPr>
        <w:pStyle w:val="ConsPlusNormal"/>
        <w:spacing w:before="220"/>
        <w:ind w:left="-426" w:firstLine="426"/>
        <w:contextualSpacing/>
        <w:jc w:val="center"/>
        <w:rPr>
          <w:rFonts w:ascii="Times New Roman" w:hAnsi="Times New Roman"/>
          <w:b/>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 xml:space="preserve">7.1. Субъект централизованного учета выдает денежные средства подотчет штатным работникам, утвержденным приказом руководителя субъекта централизованного учета. </w:t>
      </w:r>
    </w:p>
    <w:p w:rsidR="005109DA" w:rsidRDefault="005109DA">
      <w:pPr>
        <w:pStyle w:val="ConsPlusNormal"/>
        <w:spacing w:line="276" w:lineRule="auto"/>
        <w:ind w:left="-426" w:firstLine="426"/>
        <w:contextualSpacing/>
        <w:jc w:val="both"/>
        <w:rPr>
          <w:rFonts w:ascii="Times New Roman" w:hAnsi="Times New Roman"/>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7.2. Выдача подотчет или возмещение денежных средств на административно-хозяйственные нужды производится на срок, указанный, в заявлении работника, согласованного руководителем субъекта централизованного учета, учредителем.</w:t>
      </w:r>
    </w:p>
    <w:p w:rsidR="005109DA" w:rsidRDefault="005109DA">
      <w:pPr>
        <w:spacing w:after="0"/>
        <w:jc w:val="center"/>
        <w:rPr>
          <w:rFonts w:ascii="Times New Roman" w:hAnsi="Times New Roman"/>
          <w:b/>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7.3. Возмещение (подотчет) служебных разъездов производится на основании заявления работника, согласованного руководителем субъекта централизованного учета.</w:t>
      </w:r>
    </w:p>
    <w:p w:rsidR="005109DA" w:rsidRDefault="005109DA">
      <w:pPr>
        <w:spacing w:after="0"/>
        <w:jc w:val="center"/>
        <w:rPr>
          <w:rFonts w:ascii="Times New Roman" w:hAnsi="Times New Roman"/>
          <w:b/>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 xml:space="preserve">7.4. При направлении работников субъекта централизованного учета в служебные командировки на территории России и за ее пределы расходы на них возмещаются              в размере, установленном Положением об организации служебных командировок работников субъекта централизованного учета на территории России и за ее пределами. (Приложение №12 единой учетной политики). </w:t>
      </w:r>
    </w:p>
    <w:p w:rsidR="005109DA" w:rsidRDefault="005109DA">
      <w:pPr>
        <w:pStyle w:val="ConsPlusNormal"/>
        <w:ind w:left="-426" w:firstLine="426"/>
        <w:contextualSpacing/>
        <w:jc w:val="both"/>
        <w:rPr>
          <w:rFonts w:ascii="Times New Roman" w:hAnsi="Times New Roman"/>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 xml:space="preserve">7.5. Возмещение расходов на служебные командировки, превышающих размер, установленный указанным Положением, производится по фактическим расходам                 за счет средств от приносящей доход деятельности, с разрешения руководителя субъекта централизованного учета, оформленного приказом. </w:t>
      </w:r>
    </w:p>
    <w:p w:rsidR="005109DA" w:rsidRDefault="005109DA">
      <w:pPr>
        <w:pStyle w:val="ConsPlusNormal"/>
        <w:spacing w:line="276" w:lineRule="auto"/>
        <w:ind w:left="-426" w:firstLine="426"/>
        <w:contextualSpacing/>
        <w:jc w:val="both"/>
        <w:rPr>
          <w:rFonts w:ascii="Times New Roman" w:hAnsi="Times New Roman"/>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7.6. Выдача производится путем выдачи наличных денежных средств из кассы централизованной бухгалтерии либо путем перечисления на банковскую карточку работника</w:t>
      </w: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Способ выдачи денежных средств указывается в заявлении работника.</w:t>
      </w:r>
    </w:p>
    <w:p w:rsidR="005109DA" w:rsidRDefault="005109DA">
      <w:pPr>
        <w:pStyle w:val="ConsPlusNormal"/>
        <w:spacing w:line="276" w:lineRule="auto"/>
        <w:ind w:left="-426" w:firstLine="426"/>
        <w:contextualSpacing/>
        <w:jc w:val="both"/>
        <w:rPr>
          <w:rFonts w:ascii="Times New Roman" w:hAnsi="Times New Roman"/>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7.7. Выдача подотчет или возмещение денежных средств, производится при условии отсутствии задолженности за подотчетным лицом.</w:t>
      </w:r>
    </w:p>
    <w:p w:rsidR="005109DA" w:rsidRDefault="005109DA">
      <w:pPr>
        <w:pStyle w:val="ConsPlusNormal"/>
        <w:spacing w:line="276" w:lineRule="auto"/>
        <w:ind w:left="-426" w:firstLine="426"/>
        <w:contextualSpacing/>
        <w:jc w:val="both"/>
        <w:rPr>
          <w:rFonts w:ascii="Times New Roman" w:hAnsi="Times New Roman"/>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7.8. Порядок выдачи под отчет (возмещение) денежных средств, денежных документов, составления и представления отчетов подотчетными лицами осуществляется в соответствии с Приложением № 9 единой учетной политики.</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spacing w:after="0"/>
        <w:jc w:val="center"/>
        <w:rPr>
          <w:rFonts w:ascii="Times New Roman" w:hAnsi="Times New Roman"/>
          <w:b/>
          <w:sz w:val="26"/>
        </w:rPr>
      </w:pPr>
      <w:r>
        <w:rPr>
          <w:rFonts w:ascii="Times New Roman" w:hAnsi="Times New Roman"/>
          <w:b/>
          <w:sz w:val="26"/>
        </w:rPr>
        <w:t>8. Расчеты с дебиторами и кредиторами</w:t>
      </w:r>
    </w:p>
    <w:p w:rsidR="005109DA" w:rsidRDefault="005109DA">
      <w:pPr>
        <w:spacing w:after="0"/>
        <w:jc w:val="center"/>
        <w:rPr>
          <w:rFonts w:ascii="Times New Roman" w:hAnsi="Times New Roman"/>
          <w:b/>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8.1.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5109DA" w:rsidRDefault="005109DA">
      <w:pPr>
        <w:pStyle w:val="ConsPlusNormal"/>
        <w:spacing w:line="276" w:lineRule="auto"/>
        <w:ind w:left="-426" w:firstLine="426"/>
        <w:contextualSpacing/>
        <w:jc w:val="both"/>
        <w:rPr>
          <w:rFonts w:ascii="Times New Roman" w:hAnsi="Times New Roman"/>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8.2. Сумма причиненного ущерба, от недостач, хищений, подлежащая взысканию           с виновного лица, отражается по балансовой стоимости.</w:t>
      </w: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В случае причиненного ущерба, от недостач и хищений составной части единой системы, комплекса конструктивно-сочлененного предмета, определяется Комиссией по справедливой стоимости.</w:t>
      </w:r>
    </w:p>
    <w:p w:rsidR="005109DA" w:rsidRDefault="00000000">
      <w:pPr>
        <w:pStyle w:val="ConsPlusNormal"/>
        <w:spacing w:line="276" w:lineRule="auto"/>
        <w:ind w:left="-426" w:firstLine="426"/>
        <w:contextualSpacing/>
        <w:jc w:val="both"/>
        <w:rPr>
          <w:rFonts w:ascii="Times New Roman" w:hAnsi="Times New Roman"/>
          <w:i/>
          <w:sz w:val="26"/>
        </w:rPr>
      </w:pPr>
      <w:r>
        <w:rPr>
          <w:rFonts w:ascii="Times New Roman" w:hAnsi="Times New Roman"/>
          <w:i/>
          <w:sz w:val="26"/>
        </w:rPr>
        <w:t>(Основание: п. 47</w:t>
      </w:r>
      <w:r>
        <w:t xml:space="preserve"> </w:t>
      </w:r>
      <w:r>
        <w:rPr>
          <w:rFonts w:ascii="Times New Roman" w:hAnsi="Times New Roman"/>
          <w:i/>
          <w:sz w:val="26"/>
        </w:rPr>
        <w:t>СГС "Основные средства"</w:t>
      </w:r>
      <w:r>
        <w:t xml:space="preserve">, </w:t>
      </w:r>
      <w:r>
        <w:rPr>
          <w:rFonts w:ascii="Times New Roman" w:hAnsi="Times New Roman"/>
          <w:i/>
          <w:sz w:val="26"/>
        </w:rPr>
        <w:t>п. п. 52, 54 СГС "Концептуальные основы")</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8.3. Задолженность дебиторов по штрафам, пеням, иным санкциям, предусмотренным контрактом (договором, соглашением)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(претензия) по коду финансового обеспечения «2».</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на счете 2 401 40 000.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r>
        <w:t xml:space="preserve"> </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п. </w:t>
      </w:r>
      <w:hyperlink r:id="rId57" w:history="1">
        <w:r>
          <w:rPr>
            <w:rFonts w:ascii="Times New Roman" w:hAnsi="Times New Roman"/>
            <w:i/>
            <w:sz w:val="26"/>
          </w:rPr>
          <w:t>п. п. 301 Инструкция №157н, 109 Инструкция №174н, 34</w:t>
        </w:r>
      </w:hyperlink>
      <w:r>
        <w:rPr>
          <w:rFonts w:ascii="Times New Roman" w:hAnsi="Times New Roman"/>
          <w:i/>
          <w:sz w:val="26"/>
        </w:rPr>
        <w:t xml:space="preserve"> СГС "Доходы", </w:t>
      </w:r>
      <w:hyperlink r:id="rId58" w:history="1">
        <w:r>
          <w:rPr>
            <w:rFonts w:ascii="Times New Roman" w:hAnsi="Times New Roman"/>
            <w:i/>
            <w:sz w:val="26"/>
          </w:rPr>
          <w:t>Письмо</w:t>
        </w:r>
      </w:hyperlink>
      <w:r>
        <w:rPr>
          <w:rFonts w:ascii="Times New Roman" w:hAnsi="Times New Roman"/>
          <w:i/>
          <w:sz w:val="26"/>
        </w:rPr>
        <w:t xml:space="preserve"> Минфина России от 18.10.2018 № 02-07-10/75014)</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8.4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 и учитывается  по коду финансового                         обеспечения «2».</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 109 Инструкция №174н,</w:t>
      </w:r>
      <w:hyperlink r:id="rId59" w:history="1">
        <w:r>
          <w:rPr>
            <w:rFonts w:ascii="Times New Roman" w:hAnsi="Times New Roman"/>
            <w:i/>
            <w:sz w:val="26"/>
          </w:rPr>
          <w:t xml:space="preserve"> п. 9</w:t>
        </w:r>
      </w:hyperlink>
      <w:r>
        <w:rPr>
          <w:rFonts w:ascii="Times New Roman" w:hAnsi="Times New Roman"/>
          <w:i/>
          <w:sz w:val="26"/>
        </w:rPr>
        <w:t xml:space="preserve"> СГС "Учетная политика", п.35 СГС "Доходы")</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8.5. Денежные средства, поступившие от виновного лица в погашение ущерба, причиненного финансовым активам, принудительного изъятия отражаются  по коду финансового обеспечения «2».</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п. </w:t>
      </w:r>
      <w:hyperlink r:id="rId60" w:history="1">
        <w:r>
          <w:rPr>
            <w:rFonts w:ascii="Times New Roman" w:hAnsi="Times New Roman"/>
            <w:i/>
            <w:sz w:val="26"/>
          </w:rPr>
          <w:t>п. 9</w:t>
        </w:r>
      </w:hyperlink>
      <w:r>
        <w:rPr>
          <w:rFonts w:ascii="Times New Roman" w:hAnsi="Times New Roman"/>
          <w:i/>
          <w:sz w:val="26"/>
        </w:rPr>
        <w:t xml:space="preserve"> СГС "Учетная политика", 109 Инструкция №174н)</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8.6.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61" w:history="1">
        <w:r>
          <w:rPr>
            <w:rFonts w:ascii="Times New Roman" w:hAnsi="Times New Roman"/>
            <w:i/>
            <w:sz w:val="26"/>
          </w:rPr>
          <w:t>п. п. 9</w:t>
        </w:r>
      </w:hyperlink>
      <w:r>
        <w:rPr>
          <w:rFonts w:ascii="Times New Roman" w:hAnsi="Times New Roman"/>
          <w:i/>
          <w:sz w:val="26"/>
        </w:rPr>
        <w:t xml:space="preserve"> СГС "Учетная политика", 110 Инструкция №174н)</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ind w:left="-426" w:firstLine="426"/>
        <w:contextualSpacing/>
        <w:jc w:val="both"/>
        <w:rPr>
          <w:rFonts w:ascii="Times New Roman" w:hAnsi="Times New Roman"/>
          <w:sz w:val="26"/>
        </w:rPr>
      </w:pPr>
      <w:r>
        <w:rPr>
          <w:rFonts w:ascii="Times New Roman" w:hAnsi="Times New Roman"/>
          <w:sz w:val="26"/>
        </w:rPr>
        <w:t>8.7. Дебиторская задолженность списывается с учета после того, как Комиссия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(Приложение № 14 единой учетной политики).</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п. 339 Инструкции № 157н, п. 11 СГС «Доходы»)</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8.8.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8.9. Порядок принятия решения о списании с балансового и забалансового учета утвержден в Положении о признании кредиторской задолженности невостребованной (Приложение № 15 единой учетной политики).</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п. п. 371, 372 Инструкции № 157н)</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5109DA">
      <w:pPr>
        <w:spacing w:after="0"/>
        <w:jc w:val="both"/>
        <w:rPr>
          <w:rFonts w:ascii="Times New Roman" w:hAnsi="Times New Roman"/>
          <w:b/>
          <w:sz w:val="26"/>
        </w:rPr>
      </w:pPr>
    </w:p>
    <w:p w:rsidR="005109DA" w:rsidRDefault="00000000">
      <w:pPr>
        <w:spacing w:after="0"/>
        <w:jc w:val="center"/>
        <w:rPr>
          <w:rFonts w:ascii="Times New Roman" w:hAnsi="Times New Roman"/>
          <w:b/>
          <w:sz w:val="26"/>
        </w:rPr>
      </w:pPr>
      <w:r>
        <w:rPr>
          <w:rFonts w:ascii="Times New Roman" w:hAnsi="Times New Roman"/>
          <w:b/>
          <w:sz w:val="26"/>
        </w:rPr>
        <w:t>9. Расчеты по обязательствам</w:t>
      </w:r>
    </w:p>
    <w:p w:rsidR="005109DA" w:rsidRDefault="005109DA">
      <w:pPr>
        <w:spacing w:after="0"/>
        <w:ind w:left="-426" w:firstLine="426"/>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9.1. На счете 0 302 11 000 "Расчеты по заработной плате" отражаются начисления                  в пользу работников субъекта централизованного учета в том числе:</w:t>
      </w:r>
    </w:p>
    <w:p w:rsidR="005109DA" w:rsidRDefault="00000000">
      <w:pPr>
        <w:spacing w:after="0"/>
        <w:ind w:firstLine="426"/>
        <w:jc w:val="both"/>
        <w:rPr>
          <w:rFonts w:ascii="Times New Roman" w:hAnsi="Times New Roman"/>
          <w:sz w:val="26"/>
        </w:rPr>
      </w:pPr>
      <w:r>
        <w:rPr>
          <w:rFonts w:ascii="Times New Roman" w:hAnsi="Times New Roman"/>
          <w:sz w:val="26"/>
        </w:rPr>
        <w:t>•</w:t>
      </w:r>
      <w:r>
        <w:rPr>
          <w:rFonts w:ascii="Times New Roman" w:hAnsi="Times New Roman"/>
          <w:sz w:val="26"/>
        </w:rPr>
        <w:tab/>
        <w:t>выплаты (базовую зарплату) (по должностным окладам, ставкам заработной платы, почасовой оплате, за работу в ночное время, праздничные и выходные дни, работу с вредными и (или) опасными и иными особыми условиями труда, сверхурочную работу и др.);</w:t>
      </w:r>
    </w:p>
    <w:p w:rsidR="005109DA" w:rsidRDefault="00000000">
      <w:pPr>
        <w:spacing w:after="0"/>
        <w:ind w:firstLine="426"/>
        <w:jc w:val="both"/>
        <w:rPr>
          <w:rFonts w:ascii="Times New Roman" w:hAnsi="Times New Roman"/>
          <w:sz w:val="26"/>
        </w:rPr>
      </w:pPr>
      <w:r>
        <w:rPr>
          <w:rFonts w:ascii="Times New Roman" w:hAnsi="Times New Roman"/>
          <w:sz w:val="26"/>
        </w:rPr>
        <w:t>•</w:t>
      </w:r>
      <w:r>
        <w:rPr>
          <w:rFonts w:ascii="Times New Roman" w:hAnsi="Times New Roman"/>
          <w:sz w:val="26"/>
        </w:rPr>
        <w:tab/>
        <w:t>выплаты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5109DA" w:rsidRDefault="00000000">
      <w:pPr>
        <w:spacing w:after="0"/>
        <w:ind w:firstLine="426"/>
        <w:jc w:val="both"/>
        <w:rPr>
          <w:rFonts w:ascii="Times New Roman" w:hAnsi="Times New Roman"/>
          <w:sz w:val="26"/>
        </w:rPr>
      </w:pPr>
      <w:r>
        <w:rPr>
          <w:rFonts w:ascii="Times New Roman" w:hAnsi="Times New Roman"/>
          <w:sz w:val="26"/>
        </w:rPr>
        <w:t>•</w:t>
      </w:r>
      <w:r>
        <w:rPr>
          <w:rFonts w:ascii="Times New Roman" w:hAnsi="Times New Roman"/>
          <w:sz w:val="26"/>
        </w:rPr>
        <w:tab/>
        <w:t>надбавки (за выслугу лет, за работу и стаж работы, за сложность, напряженность);</w:t>
      </w:r>
    </w:p>
    <w:p w:rsidR="005109DA" w:rsidRDefault="00000000">
      <w:pPr>
        <w:spacing w:after="0"/>
        <w:ind w:firstLine="426"/>
        <w:jc w:val="both"/>
        <w:rPr>
          <w:rFonts w:ascii="Times New Roman" w:hAnsi="Times New Roman"/>
          <w:sz w:val="26"/>
        </w:rPr>
      </w:pPr>
      <w:r>
        <w:rPr>
          <w:rFonts w:ascii="Times New Roman" w:hAnsi="Times New Roman"/>
          <w:sz w:val="26"/>
        </w:rPr>
        <w:t>•</w:t>
      </w:r>
      <w:r>
        <w:rPr>
          <w:rFonts w:ascii="Times New Roman" w:hAnsi="Times New Roman"/>
          <w:sz w:val="26"/>
        </w:rPr>
        <w:tab/>
        <w:t>отпускные (основной, учебный, дополнительный), а также компенсацию за неиспользованный отпуск;</w:t>
      </w:r>
    </w:p>
    <w:p w:rsidR="005109DA" w:rsidRDefault="00000000">
      <w:pPr>
        <w:spacing w:after="0"/>
        <w:ind w:firstLine="426"/>
        <w:jc w:val="both"/>
        <w:rPr>
          <w:rFonts w:ascii="Times New Roman" w:hAnsi="Times New Roman"/>
          <w:sz w:val="26"/>
        </w:rPr>
      </w:pPr>
      <w:r>
        <w:rPr>
          <w:rFonts w:ascii="Times New Roman" w:hAnsi="Times New Roman"/>
          <w:sz w:val="26"/>
        </w:rPr>
        <w:t>•</w:t>
      </w:r>
      <w:r>
        <w:rPr>
          <w:rFonts w:ascii="Times New Roman" w:hAnsi="Times New Roman"/>
          <w:sz w:val="26"/>
        </w:rPr>
        <w:tab/>
        <w:t>другие расходы по зарплате, в том числе премии (вознаграждения по итогам работы за год, вознаграждения поощрительного, стимулирующего характера; единовременную выплату к юбилейным датам работникам; материальная помощь                    за счет фонда оплаты труда, сдачи крови и дни отдыха, предоставляемые работникам - донорам крови, и др.).</w:t>
      </w:r>
    </w:p>
    <w:p w:rsidR="005109DA" w:rsidRDefault="005109DA">
      <w:pPr>
        <w:spacing w:after="0" w:line="240" w:lineRule="auto"/>
        <w:ind w:firstLine="426"/>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9.2. Расчеты по прочим выплатам персоналу отражаются на счете 0 302 60 000                    «Расчеты по социальному обеспечению».</w:t>
      </w:r>
    </w:p>
    <w:p w:rsidR="005109DA" w:rsidRDefault="005109DA">
      <w:pPr>
        <w:spacing w:after="0"/>
        <w:ind w:left="-426" w:firstLine="426"/>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 xml:space="preserve">9.3. Аналитический учет расчетов по оплате труда, пособиям и иным социальным выплатам, договорам гражданско-правового характера в программном продукте                         «1С: Бухгалтерия государственного учреждения 8» ведется укрупненно. </w:t>
      </w:r>
    </w:p>
    <w:p w:rsidR="005109DA" w:rsidRDefault="005109DA">
      <w:pPr>
        <w:spacing w:after="0"/>
        <w:ind w:left="-426" w:firstLine="426"/>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9.4. Порядок расчетов по оплате труда и начислениям на выплаты по оплате труда, прочим выплатам, расчеты по удержаниям из выплат по оплате труда, расчеты с депонентами производится в соответствии с порядком, приведенным в Приложении №14 единой учетной политики.</w:t>
      </w:r>
    </w:p>
    <w:p w:rsidR="005109DA" w:rsidRDefault="00000000">
      <w:pPr>
        <w:spacing w:after="0"/>
        <w:ind w:left="-426" w:firstLine="426"/>
        <w:jc w:val="both"/>
        <w:rPr>
          <w:rFonts w:ascii="Times New Roman" w:hAnsi="Times New Roman"/>
          <w:i/>
          <w:sz w:val="26"/>
        </w:rPr>
      </w:pPr>
      <w:r>
        <w:rPr>
          <w:rFonts w:ascii="Times New Roman" w:hAnsi="Times New Roman"/>
          <w:i/>
          <w:sz w:val="26"/>
        </w:rPr>
        <w:t xml:space="preserve"> (Основание: п. 9 СГС "Учетная политика", п. п. п. 16, 25, 26 СГС "Концептуальные основы", п. п. 8, 10, 13, 14 СГС" Выплаты персоналу", п. п. 98, 105, 106, 128, 129, 160.1 Инструкции № 174н, п.  п. 257, 264, 270 Инструкции № 157н, Методические указания № 52н)</w:t>
      </w:r>
    </w:p>
    <w:p w:rsidR="005109DA" w:rsidRDefault="005109DA">
      <w:pPr>
        <w:spacing w:after="0"/>
        <w:ind w:left="-426" w:firstLine="426"/>
        <w:jc w:val="both"/>
        <w:rPr>
          <w:rFonts w:ascii="Times New Roman" w:hAnsi="Times New Roman"/>
          <w:sz w:val="26"/>
        </w:rPr>
      </w:pPr>
    </w:p>
    <w:p w:rsidR="005109DA" w:rsidRDefault="00000000">
      <w:pPr>
        <w:spacing w:after="0"/>
        <w:ind w:left="-426" w:firstLine="426"/>
        <w:jc w:val="center"/>
        <w:rPr>
          <w:rFonts w:ascii="Times New Roman" w:hAnsi="Times New Roman"/>
          <w:b/>
          <w:sz w:val="26"/>
        </w:rPr>
      </w:pPr>
      <w:r>
        <w:rPr>
          <w:rFonts w:ascii="Times New Roman" w:hAnsi="Times New Roman"/>
          <w:b/>
          <w:sz w:val="26"/>
        </w:rPr>
        <w:t>10. Финансовый результат</w:t>
      </w:r>
    </w:p>
    <w:p w:rsidR="005109DA" w:rsidRDefault="005109DA">
      <w:pPr>
        <w:spacing w:after="0"/>
        <w:jc w:val="center"/>
        <w:rPr>
          <w:rFonts w:ascii="Times New Roman" w:hAnsi="Times New Roman"/>
          <w:b/>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 xml:space="preserve">10.1. Доходом признается увеличение полезного потенциала активов и (или) поступление экономических выгод за отчетный месяц. </w:t>
      </w:r>
    </w:p>
    <w:p w:rsidR="005109DA" w:rsidRDefault="00000000">
      <w:pPr>
        <w:pStyle w:val="ConsPlusNormal"/>
        <w:ind w:left="-426" w:firstLine="426"/>
        <w:contextualSpacing/>
        <w:jc w:val="both"/>
        <w:rPr>
          <w:rFonts w:ascii="Times New Roman" w:hAnsi="Times New Roman"/>
          <w:i/>
          <w:sz w:val="26"/>
        </w:rPr>
      </w:pPr>
      <w:r>
        <w:rPr>
          <w:rFonts w:ascii="Times New Roman" w:hAnsi="Times New Roman"/>
          <w:i/>
          <w:sz w:val="26"/>
        </w:rPr>
        <w:t>(Основание: п. 43 СГС "Концептуальные основы")</w:t>
      </w:r>
    </w:p>
    <w:p w:rsidR="005109DA" w:rsidRDefault="005109DA">
      <w:pPr>
        <w:pStyle w:val="ConsPlusNormal"/>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10.2.  Начисление доходов производится ежемесячно с учетом фактически оказанного объема услуг, рассчитанного пропорционально плате за месяц.</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В случае возникновения расхождений все необходимые корректировки отражаются одновременно с признанием текущих доходов.</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п.53  СГС «Доходы», п. 150 Инструкции №174н)</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contextualSpacing/>
        <w:jc w:val="both"/>
        <w:rPr>
          <w:rFonts w:ascii="Times New Roman" w:hAnsi="Times New Roman"/>
          <w:sz w:val="26"/>
        </w:rPr>
      </w:pPr>
      <w:r>
        <w:rPr>
          <w:rFonts w:ascii="Times New Roman" w:hAnsi="Times New Roman"/>
          <w:sz w:val="26"/>
        </w:rPr>
        <w:t xml:space="preserve">      10.3. В учете доходы отражаются в составе доходов текущего отчетного периода на дату возникновения права на их получение, по методу начисления.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Дата признания дохода определяется по дате перехода права собственности.</w:t>
      </w:r>
    </w:p>
    <w:p w:rsidR="005109DA" w:rsidRDefault="00000000">
      <w:pPr>
        <w:pStyle w:val="ConsPlusNormal"/>
        <w:tabs>
          <w:tab w:val="left" w:pos="7952"/>
        </w:tabs>
        <w:spacing w:before="220"/>
        <w:ind w:left="-426" w:firstLine="426"/>
        <w:contextualSpacing/>
        <w:jc w:val="both"/>
        <w:rPr>
          <w:rFonts w:ascii="Times New Roman" w:hAnsi="Times New Roman"/>
          <w:i/>
          <w:sz w:val="26"/>
        </w:rPr>
      </w:pPr>
      <w:r>
        <w:rPr>
          <w:rFonts w:ascii="Times New Roman" w:hAnsi="Times New Roman"/>
          <w:i/>
          <w:sz w:val="26"/>
        </w:rPr>
        <w:t>(Основание: п. п. 9, 53 СГС  «Доходы»,  п. 36 СГС «Концептуальные основы»,                 п. 295 Инструкции №157н)</w:t>
      </w:r>
    </w:p>
    <w:p w:rsidR="005109DA" w:rsidRDefault="005109DA">
      <w:pPr>
        <w:pStyle w:val="ConsPlusNormal"/>
        <w:tabs>
          <w:tab w:val="left" w:pos="7952"/>
        </w:tabs>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10.4. 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62" w:history="1">
        <w:r>
          <w:rPr>
            <w:rFonts w:ascii="Times New Roman" w:hAnsi="Times New Roman"/>
            <w:sz w:val="26"/>
          </w:rPr>
          <w:t>(ф. 0504833)</w:t>
        </w:r>
      </w:hyperlink>
      <w:r>
        <w:rPr>
          <w:rFonts w:ascii="Times New Roman" w:hAnsi="Times New Roman"/>
          <w:sz w:val="26"/>
        </w:rPr>
        <w:t>.</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63" w:history="1">
        <w:r>
          <w:rPr>
            <w:rFonts w:ascii="Times New Roman" w:hAnsi="Times New Roman"/>
            <w:i/>
            <w:sz w:val="26"/>
          </w:rPr>
          <w:t>п. 25</w:t>
        </w:r>
      </w:hyperlink>
      <w:r>
        <w:rPr>
          <w:rFonts w:ascii="Times New Roman" w:hAnsi="Times New Roman"/>
          <w:i/>
          <w:sz w:val="26"/>
        </w:rPr>
        <w:t xml:space="preserve"> СГС "Аренда", </w:t>
      </w:r>
      <w:hyperlink r:id="rId64" w:history="1">
        <w:r>
          <w:rPr>
            <w:rFonts w:ascii="Times New Roman" w:hAnsi="Times New Roman"/>
            <w:i/>
            <w:sz w:val="26"/>
          </w:rPr>
          <w:t>п. 9</w:t>
        </w:r>
      </w:hyperlink>
      <w:r>
        <w:rPr>
          <w:rFonts w:ascii="Times New Roman" w:hAnsi="Times New Roman"/>
          <w:i/>
          <w:sz w:val="26"/>
        </w:rPr>
        <w:t xml:space="preserve"> СГС "Учетная политика")</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10.5. Датой возникновения права на получение дохода в виде гранта считается дата действия соглашения о его предоставлении и подлежит признанию в виде дохода будущих периодов.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Принятая сумма расхода по отчету об использовании средств, считается мерой реализации условий. </w:t>
      </w:r>
    </w:p>
    <w:p w:rsidR="005109DA" w:rsidRDefault="005109DA">
      <w:pPr>
        <w:pStyle w:val="ConsPlusNormal"/>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10.6. Начисление сумм, причитающихся к уплате за содержание детей, производится на основании "Табель учета посещаемости детей (ф. 0504608).</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Табель (ф. 0504608) оформляется для учета посещаемости детей в учреждениях  и заполняется на каждую группу отдельно.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Дни посещения ребенком учреждения в табеле не отмечаются.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Дни непосещения отмечаются в соответствующей графе буквой "В" - выходные дни и буквенным обозначением "Н" - неявка по уважительной причине, с указанием причины неявки в графе «Причины непосещения (основание). </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10.7. Начисление доходов по обязательному медицинскому страхованию производится на основании Отчета Территориального фонда обязательного медицинского страхования  из Единой информационной системы обязательного медицинского страхования  «Показатели работы медицинской организации в разрезе страховых медицинских организаций» общим итогом по выставленным счетам,                         в разрезе страховых медицинских организаций.</w:t>
      </w:r>
    </w:p>
    <w:p w:rsidR="005109DA" w:rsidRDefault="00000000">
      <w:pPr>
        <w:spacing w:after="0"/>
        <w:ind w:left="-426" w:firstLine="426"/>
        <w:jc w:val="both"/>
        <w:rPr>
          <w:rFonts w:ascii="Times New Roman" w:hAnsi="Times New Roman"/>
          <w:sz w:val="26"/>
        </w:rPr>
      </w:pPr>
      <w:r>
        <w:rPr>
          <w:rFonts w:ascii="Times New Roman" w:hAnsi="Times New Roman"/>
          <w:sz w:val="26"/>
        </w:rPr>
        <w:t>В бухгалтерском учете суммы непринятых к оплате счетов (отказы) отражаются на основании Отчета Территориального фонда обязательного медицинского страхования из Единой информационной системы обязательного медицинского страхования  «Показатели работы медицинской организации в разрезе  страховых медицинских организаций» общим итогом в разрезе страховых медицинских организаций».</w:t>
      </w:r>
    </w:p>
    <w:p w:rsidR="005109DA" w:rsidRDefault="00000000">
      <w:pPr>
        <w:spacing w:after="0"/>
        <w:ind w:left="-426" w:firstLine="426"/>
        <w:jc w:val="both"/>
        <w:rPr>
          <w:rFonts w:ascii="Times New Roman" w:hAnsi="Times New Roman"/>
          <w:sz w:val="26"/>
        </w:rPr>
      </w:pPr>
      <w:r>
        <w:rPr>
          <w:rFonts w:ascii="Times New Roman" w:hAnsi="Times New Roman"/>
          <w:sz w:val="26"/>
        </w:rPr>
        <w:t>Начисление доходов и отражение сумм непринятых к оплате счетов (отказы)                       в учете отражаются прямой проводкой последним днем отчетного периода.</w:t>
      </w:r>
    </w:p>
    <w:p w:rsidR="005109DA" w:rsidRDefault="005109DA">
      <w:pPr>
        <w:pStyle w:val="ConsPlusNormal"/>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10.8. Моментом возникновения права на получение дохода от любых видов пожертвований считать дату  начала действия договора пожертвования.</w:t>
      </w:r>
    </w:p>
    <w:p w:rsidR="005109DA" w:rsidRDefault="00000000">
      <w:pPr>
        <w:spacing w:after="0"/>
        <w:ind w:left="-426" w:firstLine="426"/>
        <w:jc w:val="both"/>
        <w:rPr>
          <w:rFonts w:ascii="Times New Roman" w:hAnsi="Times New Roman"/>
          <w:sz w:val="26"/>
        </w:rPr>
      </w:pPr>
      <w:r>
        <w:rPr>
          <w:rFonts w:ascii="Times New Roman" w:hAnsi="Times New Roman"/>
          <w:sz w:val="26"/>
        </w:rPr>
        <w:t>Доходами будущих периодов признаются любые доходы от пожертвований, для которых не установлена цель использования.</w:t>
      </w:r>
    </w:p>
    <w:p w:rsidR="005109DA" w:rsidRDefault="00000000">
      <w:pPr>
        <w:spacing w:after="0"/>
        <w:ind w:left="-426" w:firstLine="426"/>
        <w:jc w:val="both"/>
        <w:rPr>
          <w:rFonts w:ascii="Times New Roman" w:hAnsi="Times New Roman"/>
          <w:sz w:val="26"/>
        </w:rPr>
      </w:pPr>
      <w:r>
        <w:rPr>
          <w:rFonts w:ascii="Times New Roman" w:hAnsi="Times New Roman"/>
          <w:sz w:val="26"/>
        </w:rPr>
        <w:t>Доходы от безвозмездных поступлений денежных средств, предоставленных на условиях при передаче, признаются в составе доходов будущих периодов в момент возникновения права на их получение.</w:t>
      </w:r>
    </w:p>
    <w:p w:rsidR="005109DA" w:rsidRDefault="00000000">
      <w:pPr>
        <w:spacing w:after="0"/>
        <w:ind w:left="-426" w:firstLine="426"/>
        <w:jc w:val="both"/>
        <w:rPr>
          <w:rFonts w:ascii="Times New Roman" w:hAnsi="Times New Roman"/>
          <w:sz w:val="26"/>
        </w:rPr>
      </w:pPr>
      <w:r>
        <w:rPr>
          <w:rFonts w:ascii="Times New Roman" w:hAnsi="Times New Roman"/>
          <w:sz w:val="26"/>
        </w:rPr>
        <w:t xml:space="preserve"> По мере реализации условий при передаче активов в части, относящейся                           к отчетному периоду, доходы будущих периодов признаются в бухгалтерском учете                    в составе доходов текущего отчетного периода.</w:t>
      </w:r>
    </w:p>
    <w:p w:rsidR="005109DA" w:rsidRDefault="00000000">
      <w:pPr>
        <w:spacing w:after="0"/>
        <w:ind w:left="-426" w:firstLine="426"/>
        <w:jc w:val="both"/>
        <w:rPr>
          <w:rFonts w:ascii="Times New Roman" w:hAnsi="Times New Roman"/>
          <w:sz w:val="26"/>
        </w:rPr>
      </w:pPr>
      <w:r>
        <w:rPr>
          <w:rFonts w:ascii="Times New Roman" w:hAnsi="Times New Roman"/>
          <w:sz w:val="26"/>
        </w:rPr>
        <w:t>При безвозмездном получении объектов имущества, прочие доходы от необменных операций признаются в бухгалтерском учете доходами текущего отчетного периода по факту получения имущества от передающей стороны.</w:t>
      </w:r>
    </w:p>
    <w:p w:rsidR="005109DA" w:rsidRDefault="00000000">
      <w:pPr>
        <w:spacing w:after="0"/>
        <w:ind w:left="-426" w:firstLine="426"/>
        <w:jc w:val="both"/>
        <w:rPr>
          <w:rFonts w:ascii="Times New Roman" w:hAnsi="Times New Roman"/>
          <w:i/>
          <w:sz w:val="26"/>
        </w:rPr>
      </w:pPr>
      <w:r>
        <w:rPr>
          <w:rFonts w:ascii="Times New Roman" w:hAnsi="Times New Roman"/>
          <w:i/>
          <w:sz w:val="26"/>
        </w:rPr>
        <w:t>(Основание: п. п. 39, 40 СГС «Доходы», п.</w:t>
      </w:r>
      <w:r>
        <w:t xml:space="preserve"> </w:t>
      </w:r>
      <w:r>
        <w:rPr>
          <w:rFonts w:ascii="Times New Roman" w:hAnsi="Times New Roman"/>
          <w:i/>
          <w:sz w:val="26"/>
        </w:rPr>
        <w:t>93 Инструкции №174н)</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10.9.  Признание сумм пожертвований  доходами текущего финансового года за счет доходов будущих периодов возникает в момент исполнения цели и условий пожертвования.</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В случае пожертвования денежных средств на конкретную цель (приобретение основных средств) признание доходов будущих периодов  доходами текущего финансового года  производится по фактическому исполнению условий пожертвования (оплата и поставка).</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В случае пожертвования денежных средств на конкретную цель (проведение праздника, покупка материальных запасов и т.п.) признание доходов будущих периодов доходами текущего финансового года  производится по фактическому исполнению (проведение праздника, момент выдачи материальных запасов). Факт расходования денежных средств на закупки не признается достижением цели.  </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 п.  40 СГС «Доходы»</w:t>
      </w:r>
      <w:r>
        <w:rPr>
          <w:i/>
        </w:rPr>
        <w:t xml:space="preserve">, </w:t>
      </w:r>
      <w:r>
        <w:rPr>
          <w:rFonts w:ascii="Times New Roman" w:hAnsi="Times New Roman"/>
          <w:i/>
          <w:sz w:val="26"/>
        </w:rPr>
        <w:t>150 Инструкции №174н)</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line="276" w:lineRule="auto"/>
        <w:ind w:left="-567" w:firstLine="709"/>
        <w:contextualSpacing/>
        <w:jc w:val="both"/>
        <w:rPr>
          <w:rFonts w:ascii="Times New Roman" w:hAnsi="Times New Roman"/>
          <w:sz w:val="26"/>
        </w:rPr>
      </w:pPr>
      <w:r>
        <w:rPr>
          <w:rFonts w:ascii="Times New Roman" w:hAnsi="Times New Roman"/>
          <w:sz w:val="26"/>
        </w:rPr>
        <w:t>10.10.  Доходы, полученные и начисленные в отчетном периоде, но относящиеся             к будущим отчетным периодам, признаются доходами будущих периодов.</w:t>
      </w:r>
    </w:p>
    <w:p w:rsidR="005109DA" w:rsidRDefault="00000000">
      <w:pPr>
        <w:widowControl w:val="0"/>
        <w:spacing w:after="0"/>
        <w:ind w:left="-567" w:hanging="141"/>
        <w:contextualSpacing/>
        <w:jc w:val="both"/>
        <w:rPr>
          <w:rFonts w:ascii="Times New Roman" w:hAnsi="Times New Roman"/>
          <w:sz w:val="26"/>
        </w:rPr>
      </w:pPr>
      <w:r>
        <w:rPr>
          <w:rFonts w:ascii="Times New Roman" w:hAnsi="Times New Roman"/>
          <w:sz w:val="26"/>
        </w:rPr>
        <w:t xml:space="preserve">           Доходы по соглашению (договору), заключенному на срок более года отражаются на счетах:</w:t>
      </w:r>
    </w:p>
    <w:p w:rsidR="005109DA" w:rsidRDefault="00000000">
      <w:pPr>
        <w:pStyle w:val="a3"/>
        <w:widowControl w:val="0"/>
        <w:numPr>
          <w:ilvl w:val="0"/>
          <w:numId w:val="34"/>
        </w:numPr>
        <w:spacing w:after="0"/>
        <w:jc w:val="both"/>
        <w:rPr>
          <w:rFonts w:ascii="Times New Roman" w:hAnsi="Times New Roman"/>
          <w:sz w:val="26"/>
        </w:rPr>
      </w:pPr>
      <w:r>
        <w:rPr>
          <w:rFonts w:ascii="Times New Roman" w:hAnsi="Times New Roman"/>
          <w:sz w:val="26"/>
        </w:rPr>
        <w:t xml:space="preserve">0 401 41 000 «Доходы будущих периодов к признанию в текущем году»;    </w:t>
      </w:r>
    </w:p>
    <w:p w:rsidR="005109DA" w:rsidRDefault="00000000">
      <w:pPr>
        <w:pStyle w:val="a3"/>
        <w:widowControl w:val="0"/>
        <w:numPr>
          <w:ilvl w:val="0"/>
          <w:numId w:val="34"/>
        </w:numPr>
        <w:spacing w:after="0"/>
        <w:jc w:val="both"/>
        <w:rPr>
          <w:rFonts w:ascii="Times New Roman" w:hAnsi="Times New Roman"/>
          <w:sz w:val="26"/>
        </w:rPr>
      </w:pPr>
      <w:r>
        <w:rPr>
          <w:rFonts w:ascii="Times New Roman" w:hAnsi="Times New Roman"/>
          <w:sz w:val="26"/>
        </w:rPr>
        <w:t>0 401 49 000 «Доходы будущих периодов к признанию в очередные годы».</w:t>
      </w:r>
    </w:p>
    <w:p w:rsidR="005109DA" w:rsidRDefault="00000000">
      <w:pPr>
        <w:widowControl w:val="0"/>
        <w:spacing w:after="0"/>
        <w:ind w:left="-567" w:hanging="141"/>
        <w:contextualSpacing/>
        <w:jc w:val="both"/>
        <w:rPr>
          <w:rFonts w:ascii="Times New Roman" w:hAnsi="Times New Roman"/>
          <w:sz w:val="26"/>
        </w:rPr>
      </w:pPr>
      <w:r>
        <w:rPr>
          <w:rFonts w:ascii="Times New Roman" w:hAnsi="Times New Roman"/>
          <w:sz w:val="26"/>
        </w:rPr>
        <w:t xml:space="preserve">           Перевод показателей со счета 0 401 49 000 «Доходы будущих периодов к признанию в очередные годы» в объеме денежных средств, предусмотренных на очередной финансовый год, на счет 0 401 41 000 «Доходы будущих периодов к признанию в текущем году» осуществляются первым рабочим днем текущего года»</w:t>
      </w:r>
    </w:p>
    <w:p w:rsidR="005109DA" w:rsidRDefault="00000000">
      <w:pPr>
        <w:widowControl w:val="0"/>
        <w:spacing w:after="0"/>
        <w:ind w:left="-426" w:hanging="141"/>
        <w:contextualSpacing/>
        <w:jc w:val="both"/>
        <w:rPr>
          <w:rFonts w:ascii="Times New Roman" w:hAnsi="Times New Roman"/>
          <w:i/>
          <w:sz w:val="26"/>
        </w:rPr>
      </w:pPr>
      <w:r>
        <w:rPr>
          <w:rFonts w:ascii="Times New Roman" w:hAnsi="Times New Roman"/>
          <w:sz w:val="26"/>
        </w:rPr>
        <w:t xml:space="preserve">      </w:t>
      </w:r>
      <w:r>
        <w:rPr>
          <w:rFonts w:ascii="Times New Roman" w:hAnsi="Times New Roman"/>
          <w:i/>
          <w:sz w:val="26"/>
        </w:rPr>
        <w:t>(Основание: п. 301 Инструкции №157н, п.3 СГС «Долгосрочные договоры»)</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10.11. К долгосрочным договорам относятся договоры, срок действия которых превышает один год, а также договоры, срок действия которых не превышает один год, но даты начала и окончания исполнения приходятся на разные отчетные периоды.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К учету долгосрочные договоры принимаются по факту подписания, но не позднее месяца, следующего за месяцем, в котором он заключен.</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Доходы, возникающие в результате заключения и исполнения долгосрочных договоров возмездного оказания услуг, отражаются в составе доходов текущего года путем их начисления в течение периода оказания услуги. </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п. п. п. п. 3, 5, 11, 12 СГС «Долгосрочные договоры»)</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sz w:val="26"/>
        </w:rPr>
        <w:t xml:space="preserve">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10.12. При отражении в бухгалтерском учете доходов, возникающих в результате заключения и исполнения договоров, цена которых определяется для отдельного отчетного периода, исходя из фиксированной стоимости единицы работы (услуги), при условии, что общий объем работ (услуг) по таким договорам не определен, СГС «Долгосрочные договоры» не применяется.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К договорам, к которым  не применяется СГС «Долгосрочные договоры»  применяется СГС «Доходы».</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 7 СГС «Доходы», п. 4 СГС «Долгосрочные договоры»)</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 10.13 Начисление доходов будущих периодов от операционной аренды производится на срок действия договора аренды субъекта централизованного учета,                  в сумме арендных платежей  по факту передачи арендатору предмета аренды.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Доходы от предоставления права пользования активом (арендная плата) признаются доходами текущего года с одновременным уменьшением предстоящих доходов равномерно в последний день каждого месяца на протяжении срока пользования объектом учета аренды, и оформляется бухгалтерской справкой (ф.0504833).</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При изменении условий договора сумма доходов будущих периодов подлежит изменению с учетом знака «плюс» или «минус», в зависимости от увеличения или уменьшения.</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По окончании срока действия договора подписывается акт сверки расчетов.</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 25 СГС «Аренда», п.46  СГС «Доходы», п. 150 Инструкции №174н)</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contextualSpacing/>
        <w:jc w:val="both"/>
        <w:rPr>
          <w:rFonts w:ascii="Times New Roman" w:hAnsi="Times New Roman"/>
          <w:sz w:val="26"/>
        </w:rPr>
      </w:pPr>
      <w:r>
        <w:rPr>
          <w:rFonts w:ascii="Times New Roman" w:hAnsi="Times New Roman"/>
          <w:sz w:val="26"/>
        </w:rPr>
        <w:t xml:space="preserve">      10.14. Доходы будущих периодов от субсидии на выполнение государственного (муниципального) задания и субсидии на иные цели принимаются к учету в сумме соглашений на дату возникновения права на их получение.</w:t>
      </w:r>
    </w:p>
    <w:p w:rsidR="005109DA" w:rsidRDefault="00000000">
      <w:pPr>
        <w:pStyle w:val="ConsPlusNormal"/>
        <w:spacing w:before="220"/>
        <w:ind w:left="-426"/>
        <w:contextualSpacing/>
        <w:jc w:val="both"/>
        <w:rPr>
          <w:rFonts w:ascii="Times New Roman" w:hAnsi="Times New Roman"/>
          <w:i/>
          <w:sz w:val="26"/>
        </w:rPr>
      </w:pPr>
      <w:r>
        <w:rPr>
          <w:rFonts w:ascii="Times New Roman" w:hAnsi="Times New Roman"/>
          <w:sz w:val="26"/>
        </w:rPr>
        <w:t xml:space="preserve">      </w:t>
      </w:r>
      <w:r>
        <w:rPr>
          <w:rFonts w:ascii="Times New Roman" w:hAnsi="Times New Roman"/>
          <w:i/>
          <w:sz w:val="26"/>
        </w:rPr>
        <w:t>(Основание: п. 54 СГС «Доходы»</w:t>
      </w:r>
      <w:r>
        <w:t xml:space="preserve">, </w:t>
      </w:r>
      <w:r>
        <w:rPr>
          <w:rFonts w:ascii="Times New Roman" w:hAnsi="Times New Roman"/>
          <w:i/>
          <w:sz w:val="26"/>
        </w:rPr>
        <w:t>п. 158 Инструкции №174н)</w:t>
      </w:r>
    </w:p>
    <w:p w:rsidR="005109DA" w:rsidRDefault="005109DA">
      <w:pPr>
        <w:pStyle w:val="ConsPlusNormal"/>
        <w:spacing w:before="220"/>
        <w:ind w:left="-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10.15. Мера исполнения как оценочное значение по субсидиям на выполнение государственного (муниципального) задания и субсидиям на иные цели определяется по итогу приема учредителем отчета об исполнении, подтверждающий факт достижения цели.</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В бухгалтерском учете признание доходов текущего финансового года за счет доходов будущих периодов отражается на основании отчета, утвержденного учредителем.</w:t>
      </w:r>
    </w:p>
    <w:p w:rsidR="005109DA" w:rsidRDefault="00000000">
      <w:pPr>
        <w:pStyle w:val="ConsPlusNormal"/>
        <w:contextualSpacing/>
        <w:jc w:val="both"/>
        <w:rPr>
          <w:rFonts w:ascii="Times New Roman" w:hAnsi="Times New Roman"/>
          <w:i/>
          <w:sz w:val="26"/>
        </w:rPr>
      </w:pPr>
      <w:r>
        <w:rPr>
          <w:rFonts w:ascii="Times New Roman" w:hAnsi="Times New Roman"/>
          <w:i/>
          <w:sz w:val="26"/>
        </w:rPr>
        <w:t>(Основание: п. п. 150, 158 Инструкции №174н)</w:t>
      </w:r>
    </w:p>
    <w:p w:rsidR="005109DA" w:rsidRDefault="005109DA">
      <w:pPr>
        <w:pStyle w:val="ConsPlusNormal"/>
        <w:spacing w:before="220"/>
        <w:ind w:left="-426"/>
        <w:contextualSpacing/>
        <w:jc w:val="both"/>
        <w:rPr>
          <w:rFonts w:ascii="Times New Roman" w:hAnsi="Times New Roman"/>
          <w:i/>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 xml:space="preserve">10.16. Для определения финансового результата деятельности учреждения доходы группируются по видам доходов в разрезе кода ОСГУ в зависимости от их экономического содержания. </w:t>
      </w:r>
    </w:p>
    <w:p w:rsidR="005109DA" w:rsidRDefault="00000000">
      <w:pPr>
        <w:pStyle w:val="ConsPlusNormal"/>
        <w:spacing w:line="276" w:lineRule="auto"/>
        <w:ind w:left="-426" w:firstLine="426"/>
        <w:contextualSpacing/>
        <w:jc w:val="both"/>
        <w:rPr>
          <w:rFonts w:ascii="Times New Roman" w:hAnsi="Times New Roman"/>
          <w:i/>
          <w:sz w:val="26"/>
        </w:rPr>
      </w:pPr>
      <w:r>
        <w:rPr>
          <w:rFonts w:ascii="Times New Roman" w:hAnsi="Times New Roman"/>
          <w:i/>
          <w:sz w:val="26"/>
        </w:rPr>
        <w:t>(Основание: Порядок № 209н)</w:t>
      </w:r>
    </w:p>
    <w:p w:rsidR="005109DA" w:rsidRDefault="005109DA">
      <w:pPr>
        <w:pStyle w:val="ConsPlusNormal"/>
        <w:spacing w:line="276" w:lineRule="auto"/>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10.17. При централизованной закупке материальных запасов затраты по их доставке до центральных складов, в том числе страхование доставки, не включаются                 в фактическую стоимость приобретаемых материальных запасов, а относятся в составе расходов на финансовый результат текущего финансового года.</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65" w:history="1">
        <w:r>
          <w:rPr>
            <w:rFonts w:ascii="Times New Roman" w:hAnsi="Times New Roman"/>
            <w:i/>
            <w:sz w:val="26"/>
          </w:rPr>
          <w:t>п. 103</w:t>
        </w:r>
      </w:hyperlink>
      <w:r>
        <w:rPr>
          <w:rFonts w:ascii="Times New Roman" w:hAnsi="Times New Roman"/>
          <w:i/>
          <w:sz w:val="26"/>
        </w:rPr>
        <w:t xml:space="preserve"> Инструкции № 157н, </w:t>
      </w:r>
      <w:hyperlink r:id="rId66" w:history="1">
        <w:r>
          <w:rPr>
            <w:rFonts w:ascii="Times New Roman" w:hAnsi="Times New Roman"/>
            <w:i/>
            <w:sz w:val="26"/>
          </w:rPr>
          <w:t>п. 19</w:t>
        </w:r>
      </w:hyperlink>
      <w:r>
        <w:rPr>
          <w:rFonts w:ascii="Times New Roman" w:hAnsi="Times New Roman"/>
          <w:i/>
          <w:sz w:val="26"/>
        </w:rPr>
        <w:t xml:space="preserve"> СГС "Запасы")</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10.18. Выбытие запасов в результате потерь при стихийных бедствиях и иных чрезвычайных ситуациях производится с отнесением на чрезвычайные расходы по операциям с активами, в составе финансового результата текущего отчетного периода.</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 37 СГС "Запасы")</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10.19. Выбытие запасов в результате недостач, хищений, гибели или уничтожения, в том числе помимо воли владельца, производится в момент уничтожения или обнаружения недостачи с отнесением балансовой стоимости запасов на финансовый результат текущего отчетного периода (в уменьшение доходов от операций                             с активами). </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п. 38 СГС "Запасы") </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10.20. Величина относимая на финансовый результат текущего периода стоимости замененной (выбывшей) части объекта нефинансового актива эквивалентна затратам на ее замену (приобретения) на момент их признания.</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 п. 27, 50 СГС "Основные средства")</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sz w:val="26"/>
        </w:rPr>
        <w:t>10.21.  Для равномерного распределения расходов между смежными отчетными периодами применяется счет 0 401 50 000 «Расходы будущих периодов».</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10.22. К расходам будущих периодов относятся расходы</w:t>
      </w:r>
      <w:r>
        <w:t xml:space="preserve"> </w:t>
      </w:r>
      <w:r>
        <w:rPr>
          <w:rFonts w:ascii="Times New Roman" w:hAnsi="Times New Roman"/>
          <w:sz w:val="26"/>
        </w:rPr>
        <w:t>на оплату договоров (контрактов), заключаемых с исполнителями, срок исполнения которых наступит                     в следующем году после отчетного периода:</w:t>
      </w:r>
    </w:p>
    <w:p w:rsidR="005109DA" w:rsidRDefault="00000000">
      <w:pPr>
        <w:pStyle w:val="ConsPlusNormal"/>
        <w:numPr>
          <w:ilvl w:val="0"/>
          <w:numId w:val="35"/>
        </w:numPr>
        <w:spacing w:before="220" w:line="276" w:lineRule="auto"/>
        <w:contextualSpacing/>
        <w:jc w:val="both"/>
        <w:rPr>
          <w:rFonts w:ascii="Times New Roman" w:hAnsi="Times New Roman"/>
          <w:sz w:val="26"/>
        </w:rPr>
      </w:pPr>
      <w:r>
        <w:rPr>
          <w:rFonts w:ascii="Times New Roman" w:hAnsi="Times New Roman"/>
          <w:sz w:val="26"/>
        </w:rPr>
        <w:t>на уплату страховой премии по договору на обязательное страхование гражданской ответственности (ОСАГО);</w:t>
      </w:r>
    </w:p>
    <w:p w:rsidR="005109DA" w:rsidRDefault="00000000">
      <w:pPr>
        <w:pStyle w:val="ConsPlusNormal"/>
        <w:numPr>
          <w:ilvl w:val="0"/>
          <w:numId w:val="35"/>
        </w:numPr>
        <w:spacing w:before="220" w:line="276" w:lineRule="auto"/>
        <w:contextualSpacing/>
        <w:jc w:val="both"/>
        <w:rPr>
          <w:rFonts w:ascii="Times New Roman" w:hAnsi="Times New Roman"/>
          <w:sz w:val="26"/>
        </w:rPr>
      </w:pPr>
      <w:r>
        <w:rPr>
          <w:rFonts w:ascii="Times New Roman" w:hAnsi="Times New Roman"/>
          <w:sz w:val="26"/>
        </w:rPr>
        <w:t>расходы по условным арендным платежам;</w:t>
      </w:r>
    </w:p>
    <w:p w:rsidR="005109DA" w:rsidRDefault="00000000">
      <w:pPr>
        <w:pStyle w:val="ConsPlusNormal"/>
        <w:numPr>
          <w:ilvl w:val="0"/>
          <w:numId w:val="35"/>
        </w:numPr>
        <w:spacing w:before="220" w:line="276" w:lineRule="auto"/>
        <w:contextualSpacing/>
        <w:jc w:val="both"/>
        <w:rPr>
          <w:rFonts w:ascii="Times New Roman" w:hAnsi="Times New Roman"/>
          <w:sz w:val="26"/>
        </w:rPr>
      </w:pPr>
      <w:r>
        <w:rPr>
          <w:rFonts w:ascii="Times New Roman" w:hAnsi="Times New Roman"/>
          <w:sz w:val="26"/>
        </w:rPr>
        <w:t>на уплату аванса по подписке на периодические издания;</w:t>
      </w:r>
    </w:p>
    <w:p w:rsidR="005109DA" w:rsidRDefault="00000000">
      <w:pPr>
        <w:pStyle w:val="ConsPlusNormal"/>
        <w:numPr>
          <w:ilvl w:val="0"/>
          <w:numId w:val="35"/>
        </w:numPr>
        <w:spacing w:before="220" w:line="276" w:lineRule="auto"/>
        <w:contextualSpacing/>
        <w:jc w:val="both"/>
        <w:rPr>
          <w:rFonts w:ascii="Times New Roman" w:hAnsi="Times New Roman"/>
          <w:sz w:val="26"/>
        </w:rPr>
      </w:pPr>
      <w:r>
        <w:rPr>
          <w:rFonts w:ascii="Times New Roman" w:hAnsi="Times New Roman"/>
          <w:sz w:val="26"/>
        </w:rPr>
        <w:t>нелицензионные права на программное обеспечение.</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67" w:history="1">
        <w:r>
          <w:rPr>
            <w:rFonts w:ascii="Times New Roman" w:hAnsi="Times New Roman"/>
            <w:i/>
            <w:sz w:val="26"/>
          </w:rPr>
          <w:t>п. 302</w:t>
        </w:r>
      </w:hyperlink>
      <w:r>
        <w:rPr>
          <w:rFonts w:ascii="Times New Roman" w:hAnsi="Times New Roman"/>
          <w:i/>
          <w:sz w:val="26"/>
        </w:rPr>
        <w:t xml:space="preserve"> Инструкции № 157н)</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10.23. Расходы по условным арендным платежам </w:t>
      </w:r>
      <w:r>
        <w:rPr>
          <w:rFonts w:ascii="Times New Roman" w:hAnsi="Times New Roman"/>
          <w:i/>
        </w:rPr>
        <w:t>равна</w:t>
      </w:r>
      <w:r>
        <w:rPr>
          <w:rFonts w:ascii="Times New Roman" w:hAnsi="Times New Roman"/>
        </w:rPr>
        <w:t xml:space="preserve"> </w:t>
      </w:r>
      <w:r>
        <w:rPr>
          <w:rFonts w:ascii="Times New Roman" w:hAnsi="Times New Roman"/>
          <w:sz w:val="26"/>
        </w:rPr>
        <w:t xml:space="preserve">сумма платежей                         по контракту  </w:t>
      </w:r>
      <w:r>
        <w:rPr>
          <w:rFonts w:ascii="Times New Roman" w:hAnsi="Times New Roman"/>
          <w:i/>
        </w:rPr>
        <w:t>минус</w:t>
      </w:r>
      <w:r>
        <w:rPr>
          <w:rFonts w:ascii="Times New Roman" w:hAnsi="Times New Roman"/>
          <w:sz w:val="26"/>
        </w:rPr>
        <w:t xml:space="preserve"> выкупная стоимость имущества </w:t>
      </w:r>
      <w:r>
        <w:rPr>
          <w:rFonts w:ascii="Times New Roman" w:hAnsi="Times New Roman"/>
          <w:i/>
        </w:rPr>
        <w:t>минус</w:t>
      </w:r>
      <w:r>
        <w:rPr>
          <w:rFonts w:ascii="Times New Roman" w:hAnsi="Times New Roman"/>
          <w:sz w:val="26"/>
        </w:rPr>
        <w:t xml:space="preserve"> сумма процентов. </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10.24.  Расходы будущих периодов списываются ежемесячно равномерными долями в течение срока действия договора и относятся на финансовый результат текущего финансового года.</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68" w:history="1">
        <w:r>
          <w:rPr>
            <w:rFonts w:ascii="Times New Roman" w:hAnsi="Times New Roman"/>
            <w:i/>
            <w:sz w:val="26"/>
          </w:rPr>
          <w:t>п. 302</w:t>
        </w:r>
      </w:hyperlink>
      <w:r>
        <w:rPr>
          <w:rFonts w:ascii="Times New Roman" w:hAnsi="Times New Roman"/>
          <w:i/>
          <w:sz w:val="26"/>
        </w:rPr>
        <w:t xml:space="preserve"> Инструкции № 157н)</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10.25. В учете формируются следующие резервы предстоящих расходов:</w:t>
      </w:r>
    </w:p>
    <w:p w:rsidR="005109DA" w:rsidRDefault="00000000">
      <w:pPr>
        <w:pStyle w:val="ConsPlusNormal"/>
        <w:numPr>
          <w:ilvl w:val="0"/>
          <w:numId w:val="36"/>
        </w:numPr>
        <w:spacing w:before="220" w:line="276" w:lineRule="auto"/>
        <w:contextualSpacing/>
        <w:jc w:val="both"/>
        <w:rPr>
          <w:rFonts w:ascii="Times New Roman" w:hAnsi="Times New Roman"/>
          <w:sz w:val="26"/>
        </w:rPr>
      </w:pPr>
      <w:r>
        <w:rPr>
          <w:rFonts w:ascii="Times New Roman" w:hAnsi="Times New Roman"/>
          <w:sz w:val="26"/>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5109DA" w:rsidRDefault="00000000">
      <w:pPr>
        <w:pStyle w:val="ConsPlusNormal"/>
        <w:numPr>
          <w:ilvl w:val="0"/>
          <w:numId w:val="36"/>
        </w:numPr>
        <w:spacing w:before="220" w:line="276" w:lineRule="auto"/>
        <w:contextualSpacing/>
        <w:jc w:val="both"/>
        <w:rPr>
          <w:rFonts w:ascii="Times New Roman" w:hAnsi="Times New Roman"/>
          <w:sz w:val="26"/>
        </w:rPr>
      </w:pPr>
      <w:r>
        <w:rPr>
          <w:rFonts w:ascii="Times New Roman" w:hAnsi="Times New Roman"/>
          <w:sz w:val="26"/>
        </w:rPr>
        <w:t>резерв на оплату обязательств, по которым в срок не поступили документы контрагентов;</w:t>
      </w:r>
    </w:p>
    <w:p w:rsidR="005109DA" w:rsidRDefault="00000000">
      <w:pPr>
        <w:pStyle w:val="ConsPlusNormal"/>
        <w:numPr>
          <w:ilvl w:val="0"/>
          <w:numId w:val="36"/>
        </w:numPr>
        <w:spacing w:before="220" w:line="276" w:lineRule="auto"/>
        <w:contextualSpacing/>
        <w:jc w:val="both"/>
        <w:rPr>
          <w:rFonts w:ascii="Times New Roman" w:hAnsi="Times New Roman"/>
          <w:sz w:val="26"/>
        </w:rPr>
      </w:pPr>
      <w:r>
        <w:rPr>
          <w:rFonts w:ascii="Times New Roman" w:hAnsi="Times New Roman"/>
          <w:sz w:val="26"/>
        </w:rPr>
        <w:t>резерв по обязательствам, возникающим при поступлении товаров, работ, услуг;</w:t>
      </w:r>
    </w:p>
    <w:p w:rsidR="005109DA" w:rsidRDefault="00000000">
      <w:pPr>
        <w:pStyle w:val="ConsPlusNormal"/>
        <w:numPr>
          <w:ilvl w:val="0"/>
          <w:numId w:val="36"/>
        </w:numPr>
        <w:spacing w:before="220" w:line="276" w:lineRule="auto"/>
        <w:contextualSpacing/>
        <w:jc w:val="both"/>
        <w:rPr>
          <w:rFonts w:ascii="Times New Roman" w:hAnsi="Times New Roman"/>
          <w:sz w:val="26"/>
        </w:rPr>
      </w:pPr>
      <w:r>
        <w:rPr>
          <w:rFonts w:ascii="Times New Roman" w:hAnsi="Times New Roman"/>
          <w:sz w:val="26"/>
        </w:rPr>
        <w:t>резерв по претензиям и искам.</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 (Основание: </w:t>
      </w:r>
      <w:hyperlink r:id="rId69" w:history="1">
        <w:r>
          <w:rPr>
            <w:rFonts w:ascii="Times New Roman" w:hAnsi="Times New Roman"/>
            <w:i/>
            <w:sz w:val="26"/>
          </w:rPr>
          <w:t>п. 302.1</w:t>
        </w:r>
      </w:hyperlink>
      <w:r>
        <w:rPr>
          <w:rFonts w:ascii="Times New Roman" w:hAnsi="Times New Roman"/>
          <w:i/>
          <w:sz w:val="26"/>
        </w:rPr>
        <w:t xml:space="preserve"> Инструкции № 157н, </w:t>
      </w:r>
      <w:hyperlink r:id="rId70" w:history="1">
        <w:r>
          <w:rPr>
            <w:rFonts w:ascii="Times New Roman" w:hAnsi="Times New Roman"/>
            <w:i/>
            <w:sz w:val="26"/>
          </w:rPr>
          <w:t>п. 6</w:t>
        </w:r>
      </w:hyperlink>
      <w:r>
        <w:rPr>
          <w:rFonts w:ascii="Times New Roman" w:hAnsi="Times New Roman"/>
          <w:i/>
          <w:sz w:val="26"/>
        </w:rPr>
        <w:t xml:space="preserve"> СГС "Резервы</w:t>
      </w:r>
      <w:r>
        <w:rPr>
          <w:rFonts w:ascii="Times New Roman" w:hAnsi="Times New Roman"/>
          <w:sz w:val="26"/>
        </w:rPr>
        <w:t>"</w:t>
      </w:r>
      <w:r>
        <w:rPr>
          <w:rFonts w:ascii="Times New Roman" w:hAnsi="Times New Roman"/>
          <w:i/>
          <w:sz w:val="26"/>
        </w:rPr>
        <w:t>)</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10.26. Формирование и использование резервов предстоящих расходов осуществляется в соответствии с порядком, приведенным в Приложении № 19 единой учетной политики.</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(Основание: п. 9 СГС "Учетная политика")</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10.27. Операции по изменению недвижимого и особо ценного имущества отражаются по счету 0 210 06 000 по состоянию на 31 декабря.</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Расчеты с учредителем осуществляются путем направления Извещения (ф.0504805) с указанием сумм балансовой стоимости поступившего и выбывшего особо ценного имущества.</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п.238 Инструкции №157н, п. 9</w:t>
      </w:r>
      <w:r>
        <w:rPr>
          <w:i/>
        </w:rPr>
        <w:t xml:space="preserve"> </w:t>
      </w:r>
      <w:r>
        <w:rPr>
          <w:rFonts w:ascii="Times New Roman" w:hAnsi="Times New Roman"/>
          <w:i/>
          <w:sz w:val="26"/>
        </w:rPr>
        <w:t xml:space="preserve">СГС "Учетная политика") </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ind w:left="-426" w:firstLine="426"/>
        <w:contextualSpacing/>
        <w:jc w:val="center"/>
        <w:rPr>
          <w:rFonts w:ascii="Times New Roman" w:hAnsi="Times New Roman"/>
          <w:b/>
          <w:sz w:val="26"/>
        </w:rPr>
      </w:pPr>
      <w:r>
        <w:rPr>
          <w:rFonts w:ascii="Times New Roman" w:hAnsi="Times New Roman"/>
          <w:b/>
          <w:sz w:val="26"/>
        </w:rPr>
        <w:t>11. Санкционирование расходов</w:t>
      </w:r>
    </w:p>
    <w:p w:rsidR="005109DA" w:rsidRDefault="005109DA">
      <w:pPr>
        <w:pStyle w:val="ConsPlusNormal"/>
        <w:ind w:left="-426" w:firstLine="426"/>
        <w:contextualSpacing/>
        <w:jc w:val="center"/>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11.1.  К бухгалтерскому учету обязательства принимаются:</w:t>
      </w:r>
    </w:p>
    <w:p w:rsidR="005109DA" w:rsidRDefault="00000000">
      <w:pPr>
        <w:pStyle w:val="a3"/>
        <w:numPr>
          <w:ilvl w:val="0"/>
          <w:numId w:val="37"/>
        </w:numPr>
        <w:spacing w:after="0"/>
        <w:jc w:val="both"/>
        <w:rPr>
          <w:rFonts w:ascii="Times New Roman" w:hAnsi="Times New Roman"/>
          <w:sz w:val="26"/>
        </w:rPr>
      </w:pPr>
      <w:r>
        <w:rPr>
          <w:rFonts w:ascii="Times New Roman" w:hAnsi="Times New Roman"/>
          <w:sz w:val="26"/>
        </w:rPr>
        <w:t xml:space="preserve">в пределах утвержденных бюджетных ассигнований, </w:t>
      </w:r>
      <w:hyperlink r:id="rId71" w:history="1">
        <w:r>
          <w:rPr>
            <w:rFonts w:ascii="Times New Roman" w:hAnsi="Times New Roman"/>
            <w:sz w:val="26"/>
          </w:rPr>
          <w:t>лимитов</w:t>
        </w:r>
      </w:hyperlink>
      <w:r>
        <w:rPr>
          <w:rFonts w:ascii="Times New Roman" w:hAnsi="Times New Roman"/>
          <w:sz w:val="26"/>
        </w:rPr>
        <w:t xml:space="preserve">  бюджетных обязательств, а также сумм внесенных изменений в показатели принятых в течение текущего финансового года бюджетных обязательств </w:t>
      </w:r>
    </w:p>
    <w:p w:rsidR="005109DA" w:rsidRDefault="00000000">
      <w:pPr>
        <w:spacing w:after="0"/>
        <w:ind w:left="-426" w:firstLine="426"/>
        <w:jc w:val="both"/>
        <w:rPr>
          <w:rFonts w:ascii="Times New Roman" w:hAnsi="Times New Roman"/>
          <w:i/>
          <w:sz w:val="26"/>
        </w:rPr>
      </w:pPr>
      <w:r>
        <w:rPr>
          <w:rFonts w:ascii="Times New Roman" w:hAnsi="Times New Roman"/>
          <w:i/>
          <w:sz w:val="26"/>
        </w:rPr>
        <w:t xml:space="preserve">(Основание; </w:t>
      </w:r>
      <w:hyperlink r:id="rId72" w:history="1">
        <w:r>
          <w:rPr>
            <w:rFonts w:ascii="Times New Roman" w:hAnsi="Times New Roman"/>
            <w:i/>
            <w:sz w:val="26"/>
          </w:rPr>
          <w:t>п. 140</w:t>
        </w:r>
      </w:hyperlink>
      <w:r>
        <w:rPr>
          <w:rFonts w:ascii="Times New Roman" w:hAnsi="Times New Roman"/>
          <w:i/>
          <w:sz w:val="26"/>
        </w:rPr>
        <w:t xml:space="preserve"> Инструкции № 162н);</w:t>
      </w:r>
    </w:p>
    <w:p w:rsidR="005109DA" w:rsidRDefault="00000000">
      <w:pPr>
        <w:pStyle w:val="a3"/>
        <w:numPr>
          <w:ilvl w:val="0"/>
          <w:numId w:val="37"/>
        </w:numPr>
        <w:spacing w:after="0"/>
        <w:jc w:val="both"/>
        <w:rPr>
          <w:rFonts w:ascii="Times New Roman" w:hAnsi="Times New Roman"/>
          <w:sz w:val="26"/>
        </w:rPr>
      </w:pPr>
      <w:r>
        <w:rPr>
          <w:rFonts w:ascii="Times New Roman" w:hAnsi="Times New Roman"/>
          <w:sz w:val="26"/>
        </w:rPr>
        <w:t xml:space="preserve">в пределах назначений, утвержденных планом финансово-хозяйственной деятельности с учетом изменений, утвержденных в текущем финансовом году </w:t>
      </w:r>
    </w:p>
    <w:p w:rsidR="005109DA" w:rsidRDefault="00000000">
      <w:pPr>
        <w:spacing w:after="0"/>
        <w:ind w:left="-426" w:firstLine="426"/>
        <w:jc w:val="both"/>
        <w:rPr>
          <w:rFonts w:ascii="Times New Roman" w:hAnsi="Times New Roman"/>
          <w:i/>
          <w:sz w:val="26"/>
        </w:rPr>
      </w:pPr>
      <w:r>
        <w:rPr>
          <w:rFonts w:ascii="Times New Roman" w:hAnsi="Times New Roman"/>
          <w:i/>
          <w:sz w:val="26"/>
        </w:rPr>
        <w:t xml:space="preserve">(Основание: </w:t>
      </w:r>
      <w:hyperlink r:id="rId73" w:history="1">
        <w:r>
          <w:rPr>
            <w:rFonts w:ascii="Times New Roman" w:hAnsi="Times New Roman"/>
            <w:i/>
            <w:sz w:val="26"/>
          </w:rPr>
          <w:t>п. 165</w:t>
        </w:r>
      </w:hyperlink>
      <w:r>
        <w:rPr>
          <w:rFonts w:ascii="Times New Roman" w:hAnsi="Times New Roman"/>
          <w:i/>
          <w:sz w:val="26"/>
        </w:rPr>
        <w:t xml:space="preserve"> Инструкции № 174н, </w:t>
      </w:r>
      <w:hyperlink r:id="rId74" w:history="1">
        <w:r>
          <w:rPr>
            <w:rFonts w:ascii="Times New Roman" w:hAnsi="Times New Roman"/>
            <w:i/>
            <w:sz w:val="26"/>
          </w:rPr>
          <w:t>п. 194</w:t>
        </w:r>
      </w:hyperlink>
      <w:r>
        <w:rPr>
          <w:rFonts w:ascii="Times New Roman" w:hAnsi="Times New Roman"/>
          <w:i/>
          <w:sz w:val="26"/>
        </w:rPr>
        <w:t xml:space="preserve"> Инструкции № 183н).</w:t>
      </w:r>
    </w:p>
    <w:p w:rsidR="005109DA" w:rsidRDefault="005109DA">
      <w:pPr>
        <w:spacing w:after="0"/>
        <w:ind w:left="-426" w:firstLine="426"/>
        <w:jc w:val="both"/>
        <w:rPr>
          <w:rFonts w:ascii="Times New Roman" w:hAnsi="Times New Roman"/>
          <w:i/>
          <w:sz w:val="26"/>
        </w:rPr>
      </w:pPr>
    </w:p>
    <w:p w:rsidR="005109DA" w:rsidRDefault="00000000">
      <w:pPr>
        <w:spacing w:after="0"/>
        <w:ind w:left="-426"/>
        <w:jc w:val="both"/>
        <w:rPr>
          <w:rFonts w:ascii="Times New Roman" w:hAnsi="Times New Roman"/>
          <w:sz w:val="26"/>
        </w:rPr>
      </w:pPr>
      <w:r>
        <w:rPr>
          <w:rFonts w:ascii="Times New Roman" w:hAnsi="Times New Roman"/>
          <w:sz w:val="26"/>
        </w:rPr>
        <w:t>11.2. 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5109DA" w:rsidRDefault="00000000">
      <w:pPr>
        <w:spacing w:after="0"/>
        <w:ind w:left="-426"/>
        <w:jc w:val="both"/>
        <w:rPr>
          <w:rFonts w:ascii="Times New Roman" w:hAnsi="Times New Roman"/>
          <w:sz w:val="26"/>
        </w:rPr>
      </w:pPr>
      <w:r>
        <w:rPr>
          <w:rFonts w:ascii="Times New Roman" w:hAnsi="Times New Roman"/>
          <w:sz w:val="26"/>
        </w:rPr>
        <w:t>К отложенным обязательствам текущего финансового года относятся обязательства по созданным резервам предстоящих расходов, согласно п.10.25 единой учетной политики.</w:t>
      </w:r>
    </w:p>
    <w:p w:rsidR="005109DA" w:rsidRDefault="005109DA">
      <w:pPr>
        <w:pStyle w:val="ConsPlusNormal"/>
        <w:spacing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11.2. Порядок отражения в учете принятых и денежных обязательств  осуществляется в соответствии  с порядком, приведенным в Приложении №17 единой учетной политики.</w:t>
      </w:r>
    </w:p>
    <w:p w:rsidR="005109DA" w:rsidRDefault="00000000">
      <w:pPr>
        <w:spacing w:after="0" w:line="240" w:lineRule="auto"/>
        <w:jc w:val="both"/>
        <w:rPr>
          <w:rFonts w:ascii="Times New Roman" w:hAnsi="Times New Roman"/>
          <w:i/>
          <w:sz w:val="26"/>
        </w:rPr>
      </w:pPr>
      <w:r>
        <w:rPr>
          <w:rFonts w:ascii="Times New Roman" w:hAnsi="Times New Roman"/>
          <w:i/>
          <w:sz w:val="26"/>
        </w:rPr>
        <w:t xml:space="preserve">(Основание: </w:t>
      </w:r>
      <w:hyperlink r:id="rId75" w:history="1">
        <w:r>
          <w:rPr>
            <w:rFonts w:ascii="Times New Roman" w:hAnsi="Times New Roman"/>
            <w:i/>
            <w:sz w:val="26"/>
          </w:rPr>
          <w:t>п. 319</w:t>
        </w:r>
      </w:hyperlink>
      <w:r>
        <w:rPr>
          <w:rFonts w:ascii="Times New Roman" w:hAnsi="Times New Roman"/>
          <w:i/>
          <w:sz w:val="26"/>
        </w:rPr>
        <w:t xml:space="preserve"> Инструкции № 157н, </w:t>
      </w:r>
      <w:hyperlink r:id="rId76" w:history="1">
        <w:r>
          <w:rPr>
            <w:rFonts w:ascii="Times New Roman" w:hAnsi="Times New Roman"/>
            <w:i/>
            <w:sz w:val="26"/>
          </w:rPr>
          <w:t>п. 139</w:t>
        </w:r>
      </w:hyperlink>
      <w:r>
        <w:rPr>
          <w:rFonts w:ascii="Times New Roman" w:hAnsi="Times New Roman"/>
          <w:i/>
          <w:sz w:val="26"/>
        </w:rPr>
        <w:t xml:space="preserve"> Инструкции № 162н)</w:t>
      </w:r>
    </w:p>
    <w:p w:rsidR="005109DA" w:rsidRDefault="005109DA">
      <w:pPr>
        <w:spacing w:after="0" w:line="240" w:lineRule="auto"/>
        <w:jc w:val="both"/>
        <w:rPr>
          <w:rFonts w:ascii="Times New Roman" w:hAnsi="Times New Roman"/>
          <w:i/>
          <w:sz w:val="26"/>
        </w:rPr>
      </w:pPr>
    </w:p>
    <w:p w:rsidR="005109DA" w:rsidRDefault="005109DA">
      <w:pPr>
        <w:pStyle w:val="ConsPlusNormal"/>
        <w:spacing w:before="220" w:line="276" w:lineRule="auto"/>
        <w:ind w:left="-426" w:firstLine="426"/>
        <w:contextualSpacing/>
        <w:jc w:val="center"/>
        <w:rPr>
          <w:rFonts w:ascii="Times New Roman" w:hAnsi="Times New Roman"/>
          <w:b/>
          <w:sz w:val="26"/>
        </w:rPr>
      </w:pPr>
    </w:p>
    <w:p w:rsidR="005109DA" w:rsidRDefault="00000000">
      <w:pPr>
        <w:pStyle w:val="ConsPlusNormal"/>
        <w:spacing w:before="220" w:line="276" w:lineRule="auto"/>
        <w:ind w:left="-426" w:firstLine="426"/>
        <w:contextualSpacing/>
        <w:jc w:val="center"/>
        <w:rPr>
          <w:rFonts w:ascii="Times New Roman" w:hAnsi="Times New Roman"/>
          <w:b/>
          <w:sz w:val="26"/>
        </w:rPr>
      </w:pPr>
      <w:r>
        <w:rPr>
          <w:rFonts w:ascii="Times New Roman" w:hAnsi="Times New Roman"/>
          <w:b/>
          <w:sz w:val="26"/>
        </w:rPr>
        <w:t>12.  События после отчетной даты</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12.1. Объекты бухгалтерского учета признаются в бухгалтерском учете в том отчетном периоде, в котором имели место факты хозяйственной жизни, приведшие                   к возникновению и (или) изменению соответствующих активов, обязательств, доходов и (или) расходов, иных объектов бухгалтерского учета, вне зависимости                            от поступления или выбытия денежных средств, при расчетах, связанных                            с осуществлением указанных операций.</w:t>
      </w:r>
    </w:p>
    <w:p w:rsidR="005109DA" w:rsidRDefault="005109DA">
      <w:pPr>
        <w:spacing w:after="0"/>
        <w:ind w:left="-426" w:firstLine="426"/>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12.2. Несвоевременное поступление после отчетной даты первичных документов, оформляющих факты хозяйственной жизни, произошедшие в отчетном периоде, информация о которых подлежит отражению в бухгалтерском учете и (или) раскрытию в бухгалтерской (финансовой) отчетности в отчетном периоде не является событием после отчетной даты.</w:t>
      </w:r>
    </w:p>
    <w:p w:rsidR="005109DA" w:rsidRDefault="005109DA">
      <w:pPr>
        <w:spacing w:after="0"/>
        <w:ind w:left="-426" w:firstLine="426"/>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12.3. В случае поступления  первичных документов после даты подписания (принятия) бухгалтерской (бюджетной) отчетности субъекта централизованного учета Комитетом финансов Санкт-Петербурга, операции отражаются в следующем отчетном периоде как ошибки прошлых лет и отражаются на отдельных счетах бухгалтерского учета, в отдельном регистре, путем корректировки входящих остатков на начало года (в меж отчётном периоде).</w:t>
      </w:r>
    </w:p>
    <w:p w:rsidR="005109DA" w:rsidRDefault="00000000">
      <w:pPr>
        <w:spacing w:after="0"/>
        <w:ind w:left="-426" w:firstLine="426"/>
        <w:jc w:val="both"/>
        <w:rPr>
          <w:rFonts w:ascii="Times New Roman" w:hAnsi="Times New Roman"/>
          <w:i/>
          <w:sz w:val="26"/>
        </w:rPr>
      </w:pPr>
      <w:r>
        <w:rPr>
          <w:rFonts w:ascii="Times New Roman" w:hAnsi="Times New Roman"/>
          <w:i/>
          <w:sz w:val="26"/>
        </w:rPr>
        <w:t>(Основание: п. 18 Инструкции № 157н, п. п. 8, 10 СГС " События после отчетной даты ")</w:t>
      </w:r>
    </w:p>
    <w:p w:rsidR="005109DA" w:rsidRDefault="005109DA">
      <w:pPr>
        <w:spacing w:after="0"/>
        <w:ind w:left="-426" w:firstLine="426"/>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 xml:space="preserve">12.4. В зависимости от характера события после отчетной даты признание события в бухгалтерском учете отражается последним днем отчетного периода путем оформления записей по счетам Рабочего плана счетов до отражения бухгалтерских записей по завершению финансового года - дополнительной бухгалтерской записью, либо при исправлении ошибок – дополнительной бухгалтерской записи, оформленной методом «Красное сторно». </w:t>
      </w:r>
    </w:p>
    <w:p w:rsidR="005109DA" w:rsidRDefault="005109DA">
      <w:pPr>
        <w:spacing w:after="0"/>
        <w:ind w:left="-426" w:firstLine="426"/>
        <w:jc w:val="both"/>
        <w:rPr>
          <w:rFonts w:ascii="Times New Roman" w:hAnsi="Times New Roman"/>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12.5. Операции, отражающие событие после отчетной даты отражаются в Журнале операций по исправлению ошибок прошлых лет за отчетный год и раскрываются                           в бюджетной отчетности в отчетном периоде.</w:t>
      </w:r>
    </w:p>
    <w:p w:rsidR="005109DA" w:rsidRDefault="00000000">
      <w:pPr>
        <w:pStyle w:val="ConsPlusNormal"/>
        <w:spacing w:before="220" w:line="276" w:lineRule="auto"/>
        <w:ind w:left="-426" w:firstLine="426"/>
        <w:contextualSpacing/>
        <w:jc w:val="both"/>
        <w:rPr>
          <w:rFonts w:ascii="Times New Roman" w:hAnsi="Times New Roman"/>
          <w:color w:val="FF0000"/>
          <w:sz w:val="26"/>
        </w:rPr>
      </w:pPr>
      <w:r>
        <w:rPr>
          <w:rFonts w:ascii="Times New Roman" w:hAnsi="Times New Roman"/>
          <w:sz w:val="26"/>
        </w:rPr>
        <w:t>12.6. Порядок признания в бухгалтерском учете и раскрытия в бухгалтерской (бюджетной) отчетности событий после отчетной даты осуществляется в соответствии  с порядком, приведенным в Приложении №19 единой учетной политики</w:t>
      </w:r>
      <w:r>
        <w:rPr>
          <w:rFonts w:ascii="Times New Roman" w:hAnsi="Times New Roman"/>
          <w:color w:val="FF0000"/>
          <w:sz w:val="26"/>
        </w:rPr>
        <w:t>.</w:t>
      </w:r>
    </w:p>
    <w:p w:rsidR="005109DA" w:rsidRDefault="005109DA">
      <w:pPr>
        <w:spacing w:after="0"/>
        <w:ind w:left="-426" w:firstLine="426"/>
        <w:jc w:val="both"/>
        <w:rPr>
          <w:rFonts w:ascii="Times New Roman" w:hAnsi="Times New Roman"/>
          <w:sz w:val="26"/>
        </w:rPr>
      </w:pPr>
    </w:p>
    <w:p w:rsidR="005109DA" w:rsidRDefault="00000000">
      <w:pPr>
        <w:pStyle w:val="ConsPlusNormal"/>
        <w:ind w:left="-426" w:firstLine="426"/>
        <w:contextualSpacing/>
        <w:jc w:val="center"/>
        <w:rPr>
          <w:rFonts w:ascii="Times New Roman" w:hAnsi="Times New Roman"/>
          <w:sz w:val="26"/>
        </w:rPr>
      </w:pPr>
      <w:r>
        <w:rPr>
          <w:rFonts w:ascii="Times New Roman" w:hAnsi="Times New Roman"/>
          <w:b/>
          <w:sz w:val="26"/>
        </w:rPr>
        <w:t>13. Обесценение активов</w:t>
      </w:r>
    </w:p>
    <w:p w:rsidR="005109DA" w:rsidRDefault="005109DA">
      <w:pPr>
        <w:pStyle w:val="ConsPlusNormal"/>
        <w:ind w:left="-426" w:firstLine="426"/>
        <w:contextualSpacing/>
        <w:jc w:val="both"/>
        <w:rPr>
          <w:rFonts w:ascii="Times New Roman" w:hAnsi="Times New Roman"/>
          <w:sz w:val="26"/>
        </w:rPr>
      </w:pPr>
    </w:p>
    <w:p w:rsidR="005109DA" w:rsidRDefault="00000000">
      <w:pPr>
        <w:pStyle w:val="ConsPlusNormal"/>
        <w:spacing w:line="276" w:lineRule="auto"/>
        <w:ind w:left="-426" w:firstLine="426"/>
        <w:contextualSpacing/>
        <w:jc w:val="both"/>
        <w:rPr>
          <w:rFonts w:ascii="Times New Roman" w:hAnsi="Times New Roman"/>
          <w:sz w:val="26"/>
        </w:rPr>
      </w:pPr>
      <w:r>
        <w:rPr>
          <w:rFonts w:ascii="Times New Roman" w:hAnsi="Times New Roman"/>
          <w:sz w:val="26"/>
        </w:rPr>
        <w:t>13.1. Наличие признаков возможного обесценения (снижения убытка) проверяется субъектом централизованного учета при инвентаризации активов, проводимой при составлении годовой отчетности.</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77" w:history="1">
        <w:r>
          <w:rPr>
            <w:rFonts w:ascii="Times New Roman" w:hAnsi="Times New Roman"/>
            <w:i/>
            <w:sz w:val="26"/>
          </w:rPr>
          <w:t>п. 9</w:t>
        </w:r>
      </w:hyperlink>
      <w:r>
        <w:rPr>
          <w:rFonts w:ascii="Times New Roman" w:hAnsi="Times New Roman"/>
          <w:i/>
          <w:sz w:val="26"/>
        </w:rPr>
        <w:t xml:space="preserve"> СГС "Учетная политика", </w:t>
      </w:r>
      <w:hyperlink r:id="rId78" w:history="1">
        <w:r>
          <w:rPr>
            <w:rFonts w:ascii="Times New Roman" w:hAnsi="Times New Roman"/>
            <w:i/>
            <w:sz w:val="26"/>
          </w:rPr>
          <w:t>п. п. 5</w:t>
        </w:r>
      </w:hyperlink>
      <w:r>
        <w:rPr>
          <w:rFonts w:ascii="Times New Roman" w:hAnsi="Times New Roman"/>
          <w:i/>
          <w:sz w:val="26"/>
        </w:rPr>
        <w:t xml:space="preserve">, </w:t>
      </w:r>
      <w:hyperlink r:id="rId79" w:history="1">
        <w:r>
          <w:rPr>
            <w:rFonts w:ascii="Times New Roman" w:hAnsi="Times New Roman"/>
            <w:i/>
            <w:sz w:val="26"/>
          </w:rPr>
          <w:t>6</w:t>
        </w:r>
      </w:hyperlink>
      <w:r>
        <w:rPr>
          <w:rFonts w:ascii="Times New Roman" w:hAnsi="Times New Roman"/>
          <w:i/>
          <w:sz w:val="26"/>
        </w:rPr>
        <w:t xml:space="preserve"> СГС "Обесценение активов")</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13.2.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80" w:history="1">
        <w:r>
          <w:rPr>
            <w:rFonts w:ascii="Times New Roman" w:hAnsi="Times New Roman"/>
            <w:sz w:val="26"/>
          </w:rPr>
          <w:t>(ф. 0504087)</w:t>
        </w:r>
      </w:hyperlink>
      <w:r>
        <w:rPr>
          <w:rFonts w:ascii="Times New Roman" w:hAnsi="Times New Roman"/>
          <w:sz w:val="26"/>
        </w:rPr>
        <w:t>.</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81" w:history="1">
        <w:r>
          <w:rPr>
            <w:rFonts w:ascii="Times New Roman" w:hAnsi="Times New Roman"/>
            <w:i/>
            <w:sz w:val="26"/>
          </w:rPr>
          <w:t>п. п. 6</w:t>
        </w:r>
      </w:hyperlink>
      <w:r>
        <w:rPr>
          <w:rFonts w:ascii="Times New Roman" w:hAnsi="Times New Roman"/>
          <w:i/>
          <w:sz w:val="26"/>
        </w:rPr>
        <w:t xml:space="preserve">, </w:t>
      </w:r>
      <w:hyperlink r:id="rId82" w:history="1">
        <w:r>
          <w:rPr>
            <w:rFonts w:ascii="Times New Roman" w:hAnsi="Times New Roman"/>
            <w:i/>
            <w:sz w:val="26"/>
          </w:rPr>
          <w:t>18</w:t>
        </w:r>
      </w:hyperlink>
      <w:r>
        <w:rPr>
          <w:rFonts w:ascii="Times New Roman" w:hAnsi="Times New Roman"/>
          <w:i/>
          <w:sz w:val="26"/>
        </w:rPr>
        <w:t xml:space="preserve"> СГС "Обесценение активов")</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13.3. При определении справедливой стоимости актива также оценивается необходимость изменения оставшегося срока полезного использования актива.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Срок полезного использования и справедливую стоимость актива  определяет  Комиссия, ориентируясь на внешние и внутренние признаки, путем проведения теста на обесценение. </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83" w:history="1">
        <w:r>
          <w:rPr>
            <w:rFonts w:ascii="Times New Roman" w:hAnsi="Times New Roman"/>
            <w:i/>
            <w:sz w:val="26"/>
          </w:rPr>
          <w:t>п. 9</w:t>
        </w:r>
      </w:hyperlink>
      <w:r>
        <w:rPr>
          <w:rFonts w:ascii="Times New Roman" w:hAnsi="Times New Roman"/>
          <w:i/>
          <w:sz w:val="26"/>
        </w:rPr>
        <w:t xml:space="preserve"> СГС "Учетная политика", </w:t>
      </w:r>
      <w:hyperlink r:id="rId84" w:history="1">
        <w:r>
          <w:rPr>
            <w:rFonts w:ascii="Times New Roman" w:hAnsi="Times New Roman"/>
            <w:i/>
            <w:sz w:val="26"/>
          </w:rPr>
          <w:t>п. 13</w:t>
        </w:r>
      </w:hyperlink>
      <w:r>
        <w:rPr>
          <w:rFonts w:ascii="Times New Roman" w:hAnsi="Times New Roman"/>
          <w:i/>
          <w:sz w:val="26"/>
        </w:rPr>
        <w:t xml:space="preserve"> СГС "Обесценение активов")</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13.4. Результат проведения  теста на обесценение оформляется актом выявления признаков обесценения объектов.</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85" w:history="1">
        <w:r>
          <w:rPr>
            <w:rFonts w:ascii="Times New Roman" w:hAnsi="Times New Roman"/>
            <w:i/>
            <w:sz w:val="26"/>
          </w:rPr>
          <w:t>п. п. 10</w:t>
        </w:r>
      </w:hyperlink>
      <w:r>
        <w:rPr>
          <w:rFonts w:ascii="Times New Roman" w:hAnsi="Times New Roman"/>
          <w:i/>
          <w:sz w:val="26"/>
        </w:rPr>
        <w:t xml:space="preserve">, </w:t>
      </w:r>
      <w:hyperlink r:id="rId86" w:history="1">
        <w:r>
          <w:rPr>
            <w:rFonts w:ascii="Times New Roman" w:hAnsi="Times New Roman"/>
            <w:i/>
            <w:sz w:val="26"/>
          </w:rPr>
          <w:t>22</w:t>
        </w:r>
      </w:hyperlink>
      <w:r>
        <w:rPr>
          <w:rFonts w:ascii="Times New Roman" w:hAnsi="Times New Roman"/>
          <w:i/>
          <w:sz w:val="26"/>
        </w:rPr>
        <w:t xml:space="preserve"> СГС "Обесценение активов")</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sz w:val="26"/>
        </w:rPr>
        <w:t>13.5. При отрицательном результате проведения теста на обесценение                                  в инвентаризационной описи делается запись «В ходе инвентаризации проведен тест на обесценение, признаков обесценения не выявлено».</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15.6. Если по результатам определения справедливой стоимости актива выявлен убыток от обесценения, то он подлежит признанию в учете.</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87" w:history="1">
        <w:r>
          <w:rPr>
            <w:rFonts w:ascii="Times New Roman" w:hAnsi="Times New Roman"/>
            <w:i/>
            <w:sz w:val="26"/>
          </w:rPr>
          <w:t>п. 15</w:t>
        </w:r>
      </w:hyperlink>
      <w:r>
        <w:rPr>
          <w:rFonts w:ascii="Times New Roman" w:hAnsi="Times New Roman"/>
          <w:i/>
          <w:sz w:val="26"/>
        </w:rPr>
        <w:t xml:space="preserve"> СГС "Обесценение активов")</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13.7.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88" w:history="1">
        <w:r>
          <w:rPr>
            <w:rFonts w:ascii="Times New Roman" w:hAnsi="Times New Roman"/>
            <w:sz w:val="26"/>
          </w:rPr>
          <w:t>(ф. 0504833)</w:t>
        </w:r>
      </w:hyperlink>
      <w:r>
        <w:rPr>
          <w:rFonts w:ascii="Times New Roman" w:hAnsi="Times New Roman"/>
          <w:sz w:val="26"/>
        </w:rPr>
        <w:t>.</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89" w:history="1">
        <w:r>
          <w:rPr>
            <w:rFonts w:ascii="Times New Roman" w:hAnsi="Times New Roman"/>
            <w:i/>
            <w:sz w:val="26"/>
          </w:rPr>
          <w:t>п. 9</w:t>
        </w:r>
      </w:hyperlink>
      <w:r>
        <w:rPr>
          <w:rFonts w:ascii="Times New Roman" w:hAnsi="Times New Roman"/>
          <w:i/>
          <w:sz w:val="26"/>
        </w:rPr>
        <w:t xml:space="preserve"> СГС "Учетная политика")</w:t>
      </w:r>
    </w:p>
    <w:p w:rsidR="005109DA" w:rsidRDefault="005109DA">
      <w:pPr>
        <w:pStyle w:val="ConsPlusNormal"/>
        <w:spacing w:before="220"/>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13.8.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90" w:history="1">
        <w:r>
          <w:rPr>
            <w:rFonts w:ascii="Times New Roman" w:hAnsi="Times New Roman"/>
            <w:i/>
            <w:sz w:val="26"/>
          </w:rPr>
          <w:t>п. 24</w:t>
        </w:r>
      </w:hyperlink>
      <w:r>
        <w:rPr>
          <w:rFonts w:ascii="Times New Roman" w:hAnsi="Times New Roman"/>
          <w:i/>
          <w:sz w:val="26"/>
        </w:rPr>
        <w:t xml:space="preserve"> СГС "Обесценение активов")</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13.9.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91" w:history="1">
        <w:r>
          <w:rPr>
            <w:rFonts w:ascii="Times New Roman" w:hAnsi="Times New Roman"/>
            <w:sz w:val="26"/>
          </w:rPr>
          <w:t>(ф. 0504833)</w:t>
        </w:r>
      </w:hyperlink>
      <w:r>
        <w:rPr>
          <w:rFonts w:ascii="Times New Roman" w:hAnsi="Times New Roman"/>
          <w:sz w:val="26"/>
        </w:rPr>
        <w:t>.</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92" w:history="1">
        <w:r>
          <w:rPr>
            <w:rFonts w:ascii="Times New Roman" w:hAnsi="Times New Roman"/>
            <w:i/>
            <w:sz w:val="26"/>
          </w:rPr>
          <w:t>п. 9</w:t>
        </w:r>
      </w:hyperlink>
      <w:r>
        <w:rPr>
          <w:rFonts w:ascii="Times New Roman" w:hAnsi="Times New Roman"/>
          <w:i/>
          <w:sz w:val="26"/>
        </w:rPr>
        <w:t xml:space="preserve"> СГС "Учетная политика")</w:t>
      </w:r>
    </w:p>
    <w:p w:rsidR="005109DA" w:rsidRDefault="005109DA">
      <w:pPr>
        <w:pStyle w:val="ConsPlusNormal"/>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13.10. Активы, по которым ранее, признан убыток от обесценения, подлежит ежегодному тестированию на обесценение.</w:t>
      </w:r>
    </w:p>
    <w:p w:rsidR="005109DA" w:rsidRDefault="00000000">
      <w:pPr>
        <w:pStyle w:val="ConsPlusNormal"/>
        <w:ind w:left="-426" w:firstLine="426"/>
        <w:contextualSpacing/>
        <w:jc w:val="both"/>
        <w:rPr>
          <w:rFonts w:ascii="Times New Roman" w:hAnsi="Times New Roman"/>
          <w:i/>
          <w:sz w:val="26"/>
        </w:rPr>
      </w:pPr>
      <w:r>
        <w:rPr>
          <w:rFonts w:ascii="Times New Roman" w:hAnsi="Times New Roman"/>
          <w:i/>
          <w:sz w:val="26"/>
        </w:rPr>
        <w:t>(Основание: п. 18 СГС "Обесценение активов")</w:t>
      </w:r>
    </w:p>
    <w:p w:rsidR="005109DA" w:rsidRDefault="005109DA">
      <w:pPr>
        <w:pStyle w:val="ConsPlusNormal"/>
        <w:ind w:left="-426" w:firstLine="426"/>
        <w:contextualSpacing/>
        <w:jc w:val="both"/>
        <w:rPr>
          <w:rFonts w:ascii="Times New Roman" w:hAnsi="Times New Roman"/>
          <w:sz w:val="26"/>
        </w:rPr>
      </w:pPr>
    </w:p>
    <w:p w:rsidR="005109DA" w:rsidRDefault="00000000">
      <w:pPr>
        <w:pStyle w:val="ConsPlusNormal"/>
        <w:spacing w:line="276" w:lineRule="auto"/>
        <w:ind w:left="-426" w:firstLine="426"/>
        <w:contextualSpacing/>
        <w:jc w:val="both"/>
        <w:rPr>
          <w:rFonts w:ascii="Times New Roman" w:hAnsi="Times New Roman"/>
          <w:sz w:val="26"/>
        </w:rPr>
      </w:pPr>
      <w:bookmarkStart w:id="16" w:name="_Hlk118297514"/>
      <w:r>
        <w:rPr>
          <w:rFonts w:ascii="Times New Roman" w:hAnsi="Times New Roman"/>
          <w:sz w:val="26"/>
        </w:rPr>
        <w:t xml:space="preserve">13.11. В случае если объекты утратили свойства полезного потенциала                                  и отсутствует возможность получения экономической выгоды, процедура обесценения к таким объектам не применяется. Объекты отражаются на забалансовом счете 02. </w:t>
      </w:r>
    </w:p>
    <w:p w:rsidR="005109DA" w:rsidRDefault="005109DA">
      <w:pPr>
        <w:pStyle w:val="ConsPlusNormal"/>
        <w:spacing w:line="276" w:lineRule="auto"/>
        <w:ind w:left="-426" w:firstLine="426"/>
        <w:contextualSpacing/>
        <w:jc w:val="both"/>
        <w:rPr>
          <w:rFonts w:ascii="Times New Roman" w:hAnsi="Times New Roman"/>
          <w:sz w:val="26"/>
        </w:rPr>
      </w:pPr>
    </w:p>
    <w:p w:rsidR="005109DA" w:rsidRDefault="00000000">
      <w:pPr>
        <w:pStyle w:val="ConsPlusNormal"/>
        <w:spacing w:line="276" w:lineRule="auto"/>
        <w:ind w:left="-426" w:firstLine="426"/>
        <w:contextualSpacing/>
        <w:jc w:val="both"/>
        <w:rPr>
          <w:rFonts w:ascii="Times New Roman" w:hAnsi="Times New Roman"/>
          <w:sz w:val="26"/>
        </w:rPr>
      </w:pPr>
      <w:bookmarkStart w:id="17" w:name="_Hlk118296654"/>
      <w:bookmarkEnd w:id="16"/>
      <w:r>
        <w:rPr>
          <w:rFonts w:ascii="Times New Roman" w:hAnsi="Times New Roman"/>
          <w:sz w:val="26"/>
        </w:rPr>
        <w:t>13.12. Обесценению не подлежат материальные запасы, финансовые активы                              и права пользования нефинансовыми активами.</w:t>
      </w:r>
      <w:bookmarkEnd w:id="17"/>
    </w:p>
    <w:p w:rsidR="005109DA" w:rsidRDefault="005109DA">
      <w:pPr>
        <w:widowControl w:val="0"/>
        <w:spacing w:after="0" w:line="240" w:lineRule="auto"/>
        <w:ind w:left="-426" w:firstLine="426"/>
        <w:contextualSpacing/>
        <w:jc w:val="center"/>
        <w:rPr>
          <w:rFonts w:ascii="Times New Roman" w:hAnsi="Times New Roman"/>
          <w:b/>
          <w:sz w:val="26"/>
        </w:rPr>
      </w:pPr>
    </w:p>
    <w:p w:rsidR="005109DA" w:rsidRDefault="00000000">
      <w:pPr>
        <w:widowControl w:val="0"/>
        <w:spacing w:after="0" w:line="240" w:lineRule="auto"/>
        <w:ind w:left="-426" w:firstLine="426"/>
        <w:contextualSpacing/>
        <w:jc w:val="center"/>
        <w:rPr>
          <w:rFonts w:ascii="Times New Roman" w:hAnsi="Times New Roman"/>
          <w:b/>
          <w:sz w:val="26"/>
        </w:rPr>
      </w:pPr>
      <w:r>
        <w:rPr>
          <w:rFonts w:ascii="Times New Roman" w:hAnsi="Times New Roman"/>
          <w:b/>
          <w:sz w:val="26"/>
        </w:rPr>
        <w:t>14. Порядок учета на забалансовых счетах</w:t>
      </w:r>
    </w:p>
    <w:p w:rsidR="005109DA" w:rsidRDefault="005109DA">
      <w:pPr>
        <w:widowControl w:val="0"/>
        <w:spacing w:after="0" w:line="240" w:lineRule="auto"/>
        <w:ind w:left="-426" w:firstLine="426"/>
        <w:contextualSpacing/>
        <w:jc w:val="center"/>
        <w:rPr>
          <w:rFonts w:ascii="Times New Roman" w:hAnsi="Times New Roman"/>
          <w:sz w:val="26"/>
        </w:rPr>
      </w:pP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14.1. Учет на забалансовых счетах субъекта централизованного учета ведется                       в разрезе кодов финансового обеспечения.</w:t>
      </w:r>
    </w:p>
    <w:p w:rsidR="005109DA" w:rsidRDefault="00000000">
      <w:pPr>
        <w:widowControl w:val="0"/>
        <w:spacing w:before="220" w:after="0" w:line="240" w:lineRule="auto"/>
        <w:ind w:left="-426" w:firstLine="426"/>
        <w:contextualSpacing/>
        <w:jc w:val="both"/>
        <w:rPr>
          <w:rFonts w:ascii="Times New Roman" w:hAnsi="Times New Roman"/>
          <w:i/>
          <w:sz w:val="26"/>
        </w:rPr>
      </w:pPr>
      <w:r>
        <w:rPr>
          <w:rFonts w:ascii="Times New Roman" w:hAnsi="Times New Roman"/>
          <w:i/>
          <w:sz w:val="26"/>
        </w:rPr>
        <w:t xml:space="preserve">(Основание: </w:t>
      </w:r>
      <w:hyperlink r:id="rId93" w:history="1">
        <w:r>
          <w:rPr>
            <w:rFonts w:ascii="Times New Roman" w:hAnsi="Times New Roman"/>
            <w:i/>
            <w:sz w:val="26"/>
          </w:rPr>
          <w:t>п. 9</w:t>
        </w:r>
      </w:hyperlink>
      <w:r>
        <w:rPr>
          <w:rFonts w:ascii="Times New Roman" w:hAnsi="Times New Roman"/>
          <w:i/>
          <w:sz w:val="26"/>
        </w:rPr>
        <w:t xml:space="preserve"> СГС "Учетная политика")</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14.2. </w:t>
      </w:r>
      <w:bookmarkStart w:id="18" w:name="_Hlk121749968"/>
      <w:r>
        <w:rPr>
          <w:rFonts w:ascii="Times New Roman" w:hAnsi="Times New Roman"/>
          <w:sz w:val="26"/>
        </w:rPr>
        <w:t xml:space="preserve">Аналитический учет по </w:t>
      </w:r>
      <w:hyperlink r:id="rId94" w:history="1">
        <w:r>
          <w:rPr>
            <w:rFonts w:ascii="Times New Roman" w:hAnsi="Times New Roman"/>
            <w:sz w:val="26"/>
          </w:rPr>
          <w:t>счету 01</w:t>
        </w:r>
      </w:hyperlink>
      <w:r>
        <w:rPr>
          <w:rFonts w:ascii="Times New Roman" w:hAnsi="Times New Roman"/>
          <w:sz w:val="26"/>
        </w:rPr>
        <w:t xml:space="preserve"> "Имущество, полученное в пользование" ведется в карточке количественно-суммового учета материальных ценностей по объектам имущественных прав, учетным номерам (инвентарный, серийный, реестровый), местонахождению объектов (адрес), контрагентам, правовым основаниям, кодам КОСГУ.</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 Выделяются следующие объекты имущественных прав:</w:t>
      </w:r>
    </w:p>
    <w:p w:rsidR="005109DA" w:rsidRDefault="00000000">
      <w:pPr>
        <w:widowControl w:val="0"/>
        <w:numPr>
          <w:ilvl w:val="0"/>
          <w:numId w:val="13"/>
        </w:numPr>
        <w:spacing w:before="220" w:after="0"/>
        <w:contextualSpacing/>
        <w:jc w:val="both"/>
        <w:rPr>
          <w:rFonts w:ascii="Times New Roman" w:hAnsi="Times New Roman"/>
          <w:sz w:val="26"/>
        </w:rPr>
      </w:pPr>
      <w:r>
        <w:rPr>
          <w:rFonts w:ascii="Times New Roman" w:hAnsi="Times New Roman"/>
          <w:sz w:val="26"/>
        </w:rPr>
        <w:t>имущество, полученное в пользование на безвозмездной основе;</w:t>
      </w:r>
    </w:p>
    <w:p w:rsidR="005109DA" w:rsidRDefault="00000000">
      <w:pPr>
        <w:widowControl w:val="0"/>
        <w:numPr>
          <w:ilvl w:val="0"/>
          <w:numId w:val="13"/>
        </w:numPr>
        <w:spacing w:before="220" w:after="0"/>
        <w:contextualSpacing/>
        <w:jc w:val="both"/>
        <w:rPr>
          <w:rFonts w:ascii="Times New Roman" w:hAnsi="Times New Roman"/>
          <w:sz w:val="26"/>
        </w:rPr>
      </w:pPr>
      <w:r>
        <w:rPr>
          <w:rFonts w:ascii="Times New Roman" w:hAnsi="Times New Roman"/>
          <w:sz w:val="26"/>
        </w:rPr>
        <w:t>имущество, которое используется по решению собственника (учредителя) без закрепления права оперативного управления.</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Принятие к учету имущества осуществляется по стоимости, которую передающая сторона указала в передаточном документе.</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 Принятие к учету имущества без подтверждающих документов и до момента получения документов осуществляется на основании решения Комиссии в условной оценке: один объект, один объект 1 рубль.</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Решение о вводе объекта в эксплуатацию  принимает Комиссия, фиксируя его                   в акте.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Правомерность принятия данного решения руководитель  субъекта централизованного учета подтверждает приказом о вводе в эксплуатацию.</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Выбытие имущества отражается по стоимости, по которой ранее объект был принят к учету.</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Инвентарные карточки на объекты, числящиеся на забалансовом счете 01,                         не открываются.</w:t>
      </w:r>
    </w:p>
    <w:p w:rsidR="005109DA" w:rsidRDefault="005109DA">
      <w:pPr>
        <w:widowControl w:val="0"/>
        <w:spacing w:before="220" w:after="0" w:line="240" w:lineRule="auto"/>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14.3. На </w:t>
      </w:r>
      <w:hyperlink r:id="rId95" w:history="1">
        <w:r>
          <w:rPr>
            <w:rFonts w:ascii="Times New Roman" w:hAnsi="Times New Roman"/>
            <w:sz w:val="26"/>
          </w:rPr>
          <w:t>счете 02</w:t>
        </w:r>
      </w:hyperlink>
      <w:r>
        <w:rPr>
          <w:rFonts w:ascii="Times New Roman" w:hAnsi="Times New Roman"/>
          <w:sz w:val="26"/>
        </w:rPr>
        <w:t xml:space="preserve"> "Материальные ценности на хранении" учитываются  нефинансовые активы:</w:t>
      </w:r>
    </w:p>
    <w:p w:rsidR="005109DA" w:rsidRDefault="00000000">
      <w:pPr>
        <w:widowControl w:val="0"/>
        <w:numPr>
          <w:ilvl w:val="0"/>
          <w:numId w:val="38"/>
        </w:numPr>
        <w:spacing w:before="220" w:after="0"/>
        <w:contextualSpacing/>
        <w:jc w:val="both"/>
        <w:rPr>
          <w:rFonts w:ascii="Times New Roman" w:hAnsi="Times New Roman"/>
          <w:sz w:val="26"/>
        </w:rPr>
      </w:pPr>
      <w:r>
        <w:rPr>
          <w:rFonts w:ascii="Times New Roman" w:hAnsi="Times New Roman"/>
          <w:sz w:val="26"/>
        </w:rPr>
        <w:t>не соответствующие критериям активов;</w:t>
      </w:r>
    </w:p>
    <w:p w:rsidR="005109DA" w:rsidRDefault="00000000">
      <w:pPr>
        <w:widowControl w:val="0"/>
        <w:numPr>
          <w:ilvl w:val="0"/>
          <w:numId w:val="38"/>
        </w:numPr>
        <w:spacing w:before="220" w:after="0"/>
        <w:contextualSpacing/>
        <w:jc w:val="both"/>
        <w:rPr>
          <w:rFonts w:ascii="Times New Roman" w:hAnsi="Times New Roman"/>
          <w:sz w:val="26"/>
        </w:rPr>
      </w:pPr>
      <w:r>
        <w:rPr>
          <w:rFonts w:ascii="Times New Roman" w:hAnsi="Times New Roman"/>
          <w:sz w:val="26"/>
        </w:rPr>
        <w:t>бесхозяйное имущество – до момента обращения в оперативное управление, собственность государства или передачи собственнику;</w:t>
      </w:r>
    </w:p>
    <w:p w:rsidR="005109DA" w:rsidRDefault="00000000">
      <w:pPr>
        <w:widowControl w:val="0"/>
        <w:numPr>
          <w:ilvl w:val="0"/>
          <w:numId w:val="38"/>
        </w:numPr>
        <w:spacing w:before="220" w:after="0"/>
        <w:contextualSpacing/>
        <w:jc w:val="both"/>
        <w:rPr>
          <w:rFonts w:ascii="Times New Roman" w:hAnsi="Times New Roman"/>
          <w:sz w:val="26"/>
        </w:rPr>
      </w:pPr>
      <w:r>
        <w:rPr>
          <w:rFonts w:ascii="Times New Roman" w:hAnsi="Times New Roman"/>
          <w:sz w:val="26"/>
        </w:rPr>
        <w:t xml:space="preserve"> имущество,  принятое по договору на ответственное хранение.</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Объекты принимаются к учету по стоимости, указанной в первичном документе передающей стороной, или по стоимости, указанной в договоре.</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При прекращении получения от дальнейшего использования нефинансовых активов (признание не активом) экономических выгод и полезного потенциала, а также на</w:t>
      </w:r>
      <w:r>
        <w:rPr>
          <w:rFonts w:ascii="Times New Roman" w:hAnsi="Times New Roman"/>
          <w:sz w:val="26"/>
        </w:rPr>
        <w:tab/>
        <w:t>бесхозяйное имущество признание стоимости на счете 02 "Материальные ценности на хранении" осуществляется в условной оценке: "один объект - один рубль".</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Объекты, не соответствующие критериям  актива переводят на забалансовый                       счет 02 по Решению о прекращении признания активами объектов нефинансовых активов (ф. 0510440).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Основанием для списания с забалансового учета объектов основных средств, признанных непригодным для дальнейшего использования по целевому назначению вследствие полной утраты потребительских свойств, в том числе физического износа производится по решению органа, осуществляющего функции и полномочия учредителя (распоряжения учредителя).</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При прекращении эксплуатации в результате принятия решения о списании в связи с непригодностью объекта для дальнейшего использования по целевому назначению вследствие морального износа операции по выбытию объектов основных средств                    с забалансового счета 02 осуществляются на основании акта утилизации (уничтожении) материальных ценностей (ф.0510435).  </w:t>
      </w:r>
      <w:bookmarkEnd w:id="18"/>
    </w:p>
    <w:p w:rsidR="005109DA" w:rsidRDefault="005109DA">
      <w:pPr>
        <w:widowControl w:val="0"/>
        <w:spacing w:before="220" w:after="0"/>
        <w:ind w:left="-426" w:firstLine="426"/>
        <w:contextualSpacing/>
        <w:jc w:val="both"/>
        <w:rPr>
          <w:rFonts w:ascii="Times New Roman" w:hAnsi="Times New Roman"/>
          <w:i/>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14.4.  </w:t>
      </w:r>
      <w:bookmarkStart w:id="19" w:name="_Hlk121750111"/>
      <w:r>
        <w:rPr>
          <w:rFonts w:ascii="Times New Roman" w:hAnsi="Times New Roman"/>
          <w:sz w:val="26"/>
        </w:rPr>
        <w:t xml:space="preserve">На забалансовом </w:t>
      </w:r>
      <w:hyperlink r:id="rId96" w:history="1">
        <w:r>
          <w:rPr>
            <w:rFonts w:ascii="Times New Roman" w:hAnsi="Times New Roman"/>
            <w:sz w:val="26"/>
          </w:rPr>
          <w:t>счете 03</w:t>
        </w:r>
      </w:hyperlink>
      <w:r>
        <w:rPr>
          <w:rFonts w:ascii="Times New Roman" w:hAnsi="Times New Roman"/>
          <w:sz w:val="26"/>
        </w:rPr>
        <w:t xml:space="preserve"> "Бланки строгой отчетности" учитываются бланки строгой отчетности, выданные ответственным лицам из мест хранения для их оформления или находящиеся у ответственных лиц с момента их приобретения.</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Учет ведется по группам:</w:t>
      </w:r>
    </w:p>
    <w:p w:rsidR="005109DA" w:rsidRDefault="00000000">
      <w:pPr>
        <w:widowControl w:val="0"/>
        <w:numPr>
          <w:ilvl w:val="0"/>
          <w:numId w:val="39"/>
        </w:numPr>
        <w:spacing w:before="220" w:after="0"/>
        <w:contextualSpacing/>
        <w:jc w:val="both"/>
        <w:rPr>
          <w:rFonts w:ascii="Times New Roman" w:hAnsi="Times New Roman"/>
          <w:sz w:val="26"/>
        </w:rPr>
      </w:pPr>
      <w:r>
        <w:rPr>
          <w:rFonts w:ascii="Times New Roman" w:hAnsi="Times New Roman"/>
          <w:sz w:val="26"/>
        </w:rPr>
        <w:t>трудовые книжки и вкладыши к ним;</w:t>
      </w:r>
    </w:p>
    <w:p w:rsidR="005109DA" w:rsidRDefault="00000000">
      <w:pPr>
        <w:widowControl w:val="0"/>
        <w:numPr>
          <w:ilvl w:val="0"/>
          <w:numId w:val="39"/>
        </w:numPr>
        <w:spacing w:before="220" w:after="0"/>
        <w:contextualSpacing/>
        <w:jc w:val="both"/>
        <w:rPr>
          <w:rFonts w:ascii="Times New Roman" w:hAnsi="Times New Roman"/>
          <w:sz w:val="26"/>
        </w:rPr>
      </w:pPr>
      <w:r>
        <w:rPr>
          <w:rFonts w:ascii="Times New Roman" w:hAnsi="Times New Roman"/>
          <w:sz w:val="26"/>
        </w:rPr>
        <w:t>рецептурные бланки;</w:t>
      </w:r>
    </w:p>
    <w:p w:rsidR="005109DA" w:rsidRDefault="00000000">
      <w:pPr>
        <w:widowControl w:val="0"/>
        <w:numPr>
          <w:ilvl w:val="0"/>
          <w:numId w:val="39"/>
        </w:numPr>
        <w:spacing w:before="220" w:after="0"/>
        <w:contextualSpacing/>
        <w:jc w:val="both"/>
        <w:rPr>
          <w:rFonts w:ascii="Times New Roman" w:hAnsi="Times New Roman"/>
          <w:sz w:val="26"/>
        </w:rPr>
      </w:pPr>
      <w:r>
        <w:rPr>
          <w:rFonts w:ascii="Times New Roman" w:hAnsi="Times New Roman"/>
          <w:sz w:val="26"/>
        </w:rPr>
        <w:t>аттестаты.</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Бланки строгой отчетности принимаются к учету  в условной оценке: один объект, один рубль.</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Внутреннее перемещение отражается по требованию-накладной (ф.0510450) через смену ответственного лица и мест хранения.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Списание с учета производится по акту о списании бланков строгой отчетности (ф.0510461), на основании отчета о движении бланков строгой отчетности.</w:t>
      </w:r>
    </w:p>
    <w:p w:rsidR="005109DA" w:rsidRDefault="00000000">
      <w:pPr>
        <w:spacing w:after="0"/>
        <w:ind w:left="-426" w:firstLine="426"/>
        <w:jc w:val="both"/>
        <w:rPr>
          <w:rFonts w:ascii="Times New Roman" w:hAnsi="Times New Roman"/>
          <w:i/>
          <w:sz w:val="26"/>
        </w:rPr>
      </w:pPr>
      <w:r>
        <w:rPr>
          <w:rFonts w:ascii="Times New Roman" w:hAnsi="Times New Roman"/>
          <w:sz w:val="26"/>
        </w:rPr>
        <w:t xml:space="preserve">Списание бланков строгой отчетности, непосредственно направленные на оказание услуги, при выдаче ответственному лицу отражается по </w:t>
      </w:r>
      <w:r>
        <w:rPr>
          <w:rFonts w:ascii="Times New Roman" w:hAnsi="Times New Roman"/>
          <w:i/>
          <w:sz w:val="26"/>
        </w:rPr>
        <w:t xml:space="preserve">Дебету счета 0 109 60 272        Кредиту счета 0 105 36 449, </w:t>
      </w:r>
      <w:bookmarkStart w:id="20" w:name="_Hlk118370561"/>
      <w:r>
        <w:rPr>
          <w:rFonts w:ascii="Times New Roman" w:hAnsi="Times New Roman"/>
          <w:i/>
          <w:sz w:val="26"/>
        </w:rPr>
        <w:t>с отражением на забалансовом счете 03</w:t>
      </w:r>
      <w:bookmarkEnd w:id="20"/>
      <w:r>
        <w:rPr>
          <w:rFonts w:ascii="Times New Roman" w:hAnsi="Times New Roman"/>
          <w:i/>
          <w:sz w:val="26"/>
        </w:rPr>
        <w:t>.</w:t>
      </w:r>
    </w:p>
    <w:p w:rsidR="005109DA" w:rsidRDefault="00000000">
      <w:pPr>
        <w:spacing w:after="0"/>
        <w:ind w:left="-426" w:firstLine="426"/>
        <w:jc w:val="both"/>
        <w:rPr>
          <w:rFonts w:ascii="Times New Roman" w:hAnsi="Times New Roman"/>
          <w:i/>
          <w:sz w:val="26"/>
        </w:rPr>
      </w:pPr>
      <w:r>
        <w:rPr>
          <w:rFonts w:ascii="Times New Roman" w:hAnsi="Times New Roman"/>
          <w:sz w:val="26"/>
        </w:rPr>
        <w:t xml:space="preserve">Списание бланков строгой отчетности, не формирующие себестоимость услуги, при выдаче ответственному лицу отражается по </w:t>
      </w:r>
      <w:r>
        <w:rPr>
          <w:rFonts w:ascii="Times New Roman" w:hAnsi="Times New Roman"/>
          <w:i/>
          <w:sz w:val="26"/>
        </w:rPr>
        <w:t>Дебету счета 0 401 20 272                                            Кредиту счета 0 105 36 449, с отражением на забалансовом счете 03.</w:t>
      </w:r>
    </w:p>
    <w:p w:rsidR="005109DA" w:rsidRDefault="00000000">
      <w:pPr>
        <w:spacing w:after="0"/>
        <w:ind w:left="-426" w:firstLine="426"/>
        <w:jc w:val="both"/>
        <w:rPr>
          <w:rFonts w:ascii="Times New Roman" w:hAnsi="Times New Roman"/>
          <w:sz w:val="26"/>
        </w:rPr>
      </w:pPr>
      <w:r>
        <w:rPr>
          <w:rFonts w:ascii="Times New Roman" w:hAnsi="Times New Roman"/>
          <w:sz w:val="26"/>
        </w:rPr>
        <w:t>Порядок  приемки, хранения, выдачи и списания бланков строгой отчетности приведен в Приложении №9 единой учетной политики.</w:t>
      </w:r>
      <w:bookmarkEnd w:id="19"/>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14.5. </w:t>
      </w:r>
      <w:bookmarkStart w:id="21" w:name="_Hlk121750176"/>
      <w:r>
        <w:rPr>
          <w:rFonts w:ascii="Times New Roman" w:hAnsi="Times New Roman"/>
          <w:sz w:val="26"/>
        </w:rPr>
        <w:t xml:space="preserve">На забалансовом </w:t>
      </w:r>
      <w:hyperlink r:id="rId97" w:history="1">
        <w:r>
          <w:rPr>
            <w:rFonts w:ascii="Times New Roman" w:hAnsi="Times New Roman"/>
            <w:sz w:val="26"/>
          </w:rPr>
          <w:t>счете 04</w:t>
        </w:r>
      </w:hyperlink>
      <w:r>
        <w:rPr>
          <w:rFonts w:ascii="Times New Roman" w:hAnsi="Times New Roman"/>
          <w:sz w:val="26"/>
        </w:rPr>
        <w:t xml:space="preserve"> "Сомнительная задолженность" учет ведется                       по группам:</w:t>
      </w:r>
    </w:p>
    <w:p w:rsidR="005109DA" w:rsidRDefault="00000000">
      <w:pPr>
        <w:widowControl w:val="0"/>
        <w:numPr>
          <w:ilvl w:val="0"/>
          <w:numId w:val="40"/>
        </w:numPr>
        <w:spacing w:before="220" w:after="0"/>
        <w:contextualSpacing/>
        <w:jc w:val="both"/>
        <w:rPr>
          <w:rFonts w:ascii="Times New Roman" w:hAnsi="Times New Roman"/>
          <w:sz w:val="26"/>
        </w:rPr>
      </w:pPr>
      <w:r>
        <w:rPr>
          <w:rFonts w:ascii="Times New Roman" w:hAnsi="Times New Roman"/>
          <w:sz w:val="26"/>
        </w:rPr>
        <w:t>задолженность по доходам;</w:t>
      </w:r>
    </w:p>
    <w:p w:rsidR="005109DA" w:rsidRDefault="00000000">
      <w:pPr>
        <w:widowControl w:val="0"/>
        <w:numPr>
          <w:ilvl w:val="0"/>
          <w:numId w:val="40"/>
        </w:numPr>
        <w:spacing w:before="220" w:after="0"/>
        <w:contextualSpacing/>
        <w:jc w:val="both"/>
        <w:rPr>
          <w:rFonts w:ascii="Times New Roman" w:hAnsi="Times New Roman"/>
          <w:sz w:val="26"/>
        </w:rPr>
      </w:pPr>
      <w:r>
        <w:rPr>
          <w:rFonts w:ascii="Times New Roman" w:hAnsi="Times New Roman"/>
          <w:sz w:val="26"/>
        </w:rPr>
        <w:t>задолженность по авансам;</w:t>
      </w:r>
    </w:p>
    <w:p w:rsidR="005109DA" w:rsidRDefault="00000000">
      <w:pPr>
        <w:widowControl w:val="0"/>
        <w:numPr>
          <w:ilvl w:val="0"/>
          <w:numId w:val="40"/>
        </w:numPr>
        <w:spacing w:before="220" w:after="0"/>
        <w:contextualSpacing/>
        <w:jc w:val="both"/>
        <w:rPr>
          <w:rFonts w:ascii="Times New Roman" w:hAnsi="Times New Roman"/>
          <w:sz w:val="26"/>
        </w:rPr>
      </w:pPr>
      <w:r>
        <w:rPr>
          <w:rFonts w:ascii="Times New Roman" w:hAnsi="Times New Roman"/>
          <w:sz w:val="26"/>
        </w:rPr>
        <w:t>задолженность подотчетных лиц;</w:t>
      </w:r>
    </w:p>
    <w:p w:rsidR="005109DA" w:rsidRDefault="00000000">
      <w:pPr>
        <w:widowControl w:val="0"/>
        <w:numPr>
          <w:ilvl w:val="0"/>
          <w:numId w:val="40"/>
        </w:numPr>
        <w:spacing w:before="220" w:after="0"/>
        <w:contextualSpacing/>
        <w:jc w:val="both"/>
        <w:rPr>
          <w:rFonts w:ascii="Times New Roman" w:hAnsi="Times New Roman"/>
          <w:sz w:val="26"/>
        </w:rPr>
      </w:pPr>
      <w:r>
        <w:rPr>
          <w:rFonts w:ascii="Times New Roman" w:hAnsi="Times New Roman"/>
          <w:sz w:val="26"/>
        </w:rPr>
        <w:t>задолженность по недостачам.</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Комиссия принимает решение о  списании с балансового учета, с одновременным отражением на забалансовом учете, сомнительной задолженности неплатежеспособных дебиторов с учетом:</w:t>
      </w:r>
    </w:p>
    <w:p w:rsidR="005109DA" w:rsidRDefault="00000000">
      <w:pPr>
        <w:widowControl w:val="0"/>
        <w:numPr>
          <w:ilvl w:val="0"/>
          <w:numId w:val="41"/>
        </w:numPr>
        <w:spacing w:before="220" w:after="0"/>
        <w:contextualSpacing/>
        <w:jc w:val="both"/>
        <w:rPr>
          <w:rFonts w:ascii="Times New Roman" w:hAnsi="Times New Roman"/>
          <w:sz w:val="26"/>
        </w:rPr>
      </w:pPr>
      <w:r>
        <w:rPr>
          <w:rFonts w:ascii="Times New Roman" w:hAnsi="Times New Roman"/>
          <w:sz w:val="26"/>
        </w:rPr>
        <w:t>сведений, выявленных в ходе проведения инвентаризации, в отношении дебиторской задолженности, обладающей признаками нереальной                               к взысканию;</w:t>
      </w:r>
    </w:p>
    <w:p w:rsidR="005109DA" w:rsidRDefault="00000000">
      <w:pPr>
        <w:widowControl w:val="0"/>
        <w:numPr>
          <w:ilvl w:val="0"/>
          <w:numId w:val="41"/>
        </w:numPr>
        <w:spacing w:before="220" w:after="0"/>
        <w:contextualSpacing/>
        <w:jc w:val="both"/>
        <w:rPr>
          <w:rFonts w:ascii="Times New Roman" w:hAnsi="Times New Roman"/>
          <w:sz w:val="26"/>
        </w:rPr>
      </w:pPr>
      <w:r>
        <w:rPr>
          <w:rFonts w:ascii="Times New Roman" w:hAnsi="Times New Roman"/>
          <w:sz w:val="26"/>
        </w:rPr>
        <w:t>документов, подтверждающих наличие рисков невозможности взыскания дебиторской задолженности.</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Дебиторская задолженность, признается сомнительной, в случае не исполнения должником (плательщиком) в срок (не менее трех лет начиная с года, в котором составляется бухгалтерская (финансовая) отчетность) своих обязательств и не соответствующая критериям признания актива и подлежит отнесению на финансовый результат текущего периода,  с одновременным отражением на  забалансовом счете                 04 "Сомнительная задолженность".</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Прекращение признания сомнительной задолженности осуществляется на основании решения Комиссии при наличии документов, подтверждающих неопределенность относительно получения экономических выгод или полезного потенциала путем списания со счета 04.</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При отсутствии оснований для возобновления процедуры взыскания задолженности (смерть или ликвидация дебитора), такая  задолженность признается безнадежной и подлежит списанию с балансового учета без отражения на забалансовом счете 04 "Сомнительная задолженность".</w:t>
      </w:r>
    </w:p>
    <w:p w:rsidR="005109DA" w:rsidRDefault="005109DA">
      <w:pPr>
        <w:widowControl w:val="0"/>
        <w:spacing w:before="220" w:after="0" w:line="240" w:lineRule="auto"/>
        <w:ind w:left="-426" w:firstLine="426"/>
        <w:contextualSpacing/>
        <w:jc w:val="both"/>
        <w:rPr>
          <w:rFonts w:ascii="Times New Roman" w:hAnsi="Times New Roman"/>
          <w:i/>
          <w:sz w:val="26"/>
        </w:rPr>
      </w:pPr>
    </w:p>
    <w:p w:rsidR="005109DA" w:rsidRDefault="00000000">
      <w:pPr>
        <w:widowControl w:val="0"/>
        <w:spacing w:before="220" w:after="0"/>
        <w:ind w:left="-426" w:firstLine="426"/>
        <w:contextualSpacing/>
        <w:jc w:val="both"/>
        <w:rPr>
          <w:rFonts w:ascii="Times New Roman" w:hAnsi="Times New Roman"/>
          <w:sz w:val="26"/>
        </w:rPr>
      </w:pPr>
      <w:bookmarkStart w:id="22" w:name="_Hlk121753632"/>
      <w:bookmarkEnd w:id="21"/>
      <w:r>
        <w:rPr>
          <w:rFonts w:ascii="Times New Roman" w:hAnsi="Times New Roman"/>
          <w:sz w:val="26"/>
        </w:rPr>
        <w:t>14.6.   Учет задолженности учащихся за невозвращенное имущество (основные средства, материальные запасы, библиотечный фонд) ведется на забалансовом счете   06 «Задолженность учащихся и студентов за невозвращенные материальные ценности».</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Задолженность принимается к учету в размере подлежащих возмещению сумм расходов учреждения, необходимых для восстановления (приобретения) аналогичного имущества по результатам проведенной инвентаризации и отражается в Карточке учета средств и расчетов по каждому учащемуся и виду материальных ценностей.</w:t>
      </w:r>
    </w:p>
    <w:p w:rsidR="005109DA" w:rsidRDefault="005109DA">
      <w:pPr>
        <w:widowControl w:val="0"/>
        <w:spacing w:before="220" w:after="0" w:line="240" w:lineRule="auto"/>
        <w:ind w:left="-426" w:firstLine="426"/>
        <w:contextualSpacing/>
        <w:jc w:val="both"/>
        <w:rPr>
          <w:rFonts w:ascii="Times New Roman" w:hAnsi="Times New Roman"/>
          <w:i/>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14.7.  Учет призов, знамен, кубков, а также материальных ценностей, приобретенных и предназначенных для награждения (дарения), в том числе ценных подарков и сувениров  ведется на забалансовом счете 07 "Награды, призы, кубки и ценные подарки, сувениры".</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На счете 07 "Награды, призы, кубки и ценные подарки, сувениры" учитываются:</w:t>
      </w:r>
    </w:p>
    <w:p w:rsidR="005109DA" w:rsidRDefault="00000000">
      <w:pPr>
        <w:widowControl w:val="0"/>
        <w:numPr>
          <w:ilvl w:val="0"/>
          <w:numId w:val="42"/>
        </w:numPr>
        <w:spacing w:before="220" w:after="0"/>
        <w:contextualSpacing/>
        <w:jc w:val="both"/>
        <w:rPr>
          <w:rFonts w:ascii="Times New Roman" w:hAnsi="Times New Roman"/>
          <w:sz w:val="26"/>
        </w:rPr>
      </w:pPr>
      <w:r>
        <w:rPr>
          <w:rFonts w:ascii="Times New Roman" w:hAnsi="Times New Roman"/>
          <w:sz w:val="26"/>
        </w:rPr>
        <w:t>призы, знамена, кубки, в том числе переданные субъекту централизованного учета для награждения команд-победителей;</w:t>
      </w:r>
    </w:p>
    <w:p w:rsidR="005109DA" w:rsidRDefault="00000000">
      <w:pPr>
        <w:widowControl w:val="0"/>
        <w:numPr>
          <w:ilvl w:val="0"/>
          <w:numId w:val="42"/>
        </w:numPr>
        <w:spacing w:before="220" w:after="0"/>
        <w:contextualSpacing/>
        <w:jc w:val="both"/>
        <w:rPr>
          <w:rFonts w:ascii="Times New Roman" w:hAnsi="Times New Roman"/>
          <w:sz w:val="26"/>
        </w:rPr>
      </w:pPr>
      <w:r>
        <w:rPr>
          <w:rFonts w:ascii="Times New Roman" w:hAnsi="Times New Roman"/>
          <w:sz w:val="26"/>
        </w:rPr>
        <w:t>ценные подарки, сувениры, другие материальные ценности, приобретенные для награждения и дарения.</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Принятие к учету отражается по стоимости приобретения.</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Порядок оформления документов о вручении ценных подарков, сувениров, призов, кубков (иных материальных ценностей, приобретаемых для дарения) и их учета приведен в Приложении № 8 единой учетной политики.</w:t>
      </w:r>
    </w:p>
    <w:p w:rsidR="005109DA" w:rsidRDefault="00000000">
      <w:pPr>
        <w:widowControl w:val="0"/>
        <w:spacing w:before="220" w:after="0" w:line="240" w:lineRule="auto"/>
        <w:ind w:left="-426" w:firstLine="426"/>
        <w:contextualSpacing/>
        <w:jc w:val="both"/>
        <w:rPr>
          <w:rFonts w:ascii="Times New Roman" w:hAnsi="Times New Roman"/>
          <w:i/>
          <w:sz w:val="26"/>
        </w:rPr>
      </w:pPr>
      <w:r>
        <w:rPr>
          <w:rFonts w:ascii="Times New Roman" w:hAnsi="Times New Roman"/>
          <w:i/>
          <w:sz w:val="26"/>
        </w:rPr>
        <w:t xml:space="preserve">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14.8. На забалансовом счете 09 "Запасные части к транспортным средствам, выданные взамен изношенных" учитываются запчасти к транспортным средствам, выданные взамен изношенных для ремонта транспорта.</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Учет запасных частей ведется по группам:</w:t>
      </w:r>
    </w:p>
    <w:p w:rsidR="005109DA" w:rsidRDefault="00000000">
      <w:pPr>
        <w:widowControl w:val="0"/>
        <w:numPr>
          <w:ilvl w:val="0"/>
          <w:numId w:val="43"/>
        </w:numPr>
        <w:spacing w:before="220" w:after="0"/>
        <w:contextualSpacing/>
        <w:jc w:val="both"/>
        <w:rPr>
          <w:rFonts w:ascii="Times New Roman" w:hAnsi="Times New Roman"/>
          <w:sz w:val="26"/>
        </w:rPr>
      </w:pPr>
      <w:r>
        <w:rPr>
          <w:rFonts w:ascii="Times New Roman" w:hAnsi="Times New Roman"/>
          <w:sz w:val="26"/>
        </w:rPr>
        <w:t>аккумуляторы;</w:t>
      </w:r>
    </w:p>
    <w:p w:rsidR="005109DA" w:rsidRDefault="00000000">
      <w:pPr>
        <w:widowControl w:val="0"/>
        <w:numPr>
          <w:ilvl w:val="0"/>
          <w:numId w:val="43"/>
        </w:numPr>
        <w:spacing w:before="220" w:after="0"/>
        <w:contextualSpacing/>
        <w:jc w:val="both"/>
        <w:rPr>
          <w:rFonts w:ascii="Times New Roman" w:hAnsi="Times New Roman"/>
          <w:sz w:val="26"/>
        </w:rPr>
      </w:pPr>
      <w:r>
        <w:rPr>
          <w:rFonts w:ascii="Times New Roman" w:hAnsi="Times New Roman"/>
          <w:sz w:val="26"/>
        </w:rPr>
        <w:t>автошины, диски колесные.</w:t>
      </w:r>
    </w:p>
    <w:p w:rsidR="005109DA" w:rsidRDefault="00000000">
      <w:pPr>
        <w:widowControl w:val="0"/>
        <w:spacing w:before="220" w:after="0"/>
        <w:ind w:left="-426" w:firstLine="426"/>
        <w:contextualSpacing/>
        <w:jc w:val="both"/>
        <w:rPr>
          <w:rFonts w:ascii="Times New Roman" w:hAnsi="Times New Roman"/>
          <w:i/>
          <w:sz w:val="26"/>
        </w:rPr>
      </w:pPr>
      <w:r>
        <w:rPr>
          <w:rFonts w:ascii="Times New Roman" w:hAnsi="Times New Roman"/>
          <w:sz w:val="26"/>
        </w:rPr>
        <w:t>Запасные части, выданные для установки на автомобиль взамен изношенных, подлежат списанию с балансового учета по ведомости выдачи материальных ценностей на нужды учреждения (ф. 0504210) с одновременным отражением их на забалансовом счете  09 "Запасные части к транспортным средствам, выданные взамен изношенных"  по  стоимости принятия на балансовый учет.</w:t>
      </w:r>
    </w:p>
    <w:p w:rsidR="005109DA" w:rsidRDefault="00000000">
      <w:pPr>
        <w:widowControl w:val="0"/>
        <w:spacing w:before="220" w:after="0"/>
        <w:ind w:left="-426" w:firstLine="426"/>
        <w:contextualSpacing/>
        <w:jc w:val="both"/>
        <w:rPr>
          <w:rFonts w:ascii="Times New Roman" w:hAnsi="Times New Roman"/>
          <w:i/>
          <w:sz w:val="26"/>
        </w:rPr>
      </w:pPr>
      <w:r>
        <w:rPr>
          <w:rFonts w:ascii="Times New Roman" w:hAnsi="Times New Roman"/>
          <w:sz w:val="26"/>
        </w:rPr>
        <w:t>Запасные части учитываются на забалансовом счете 09 "Запасные части                                      к транспортным средствам, выданные взамен изношенных"  в течение всего периода их эксплуатации (использования) в составе транспортного средства.</w:t>
      </w:r>
      <w:r>
        <w:rPr>
          <w:rFonts w:ascii="Times New Roman" w:hAnsi="Times New Roman"/>
          <w:i/>
          <w:sz w:val="26"/>
        </w:rPr>
        <w:t xml:space="preserve">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Списание запасных частей  с забалансового учета отражается:</w:t>
      </w:r>
    </w:p>
    <w:p w:rsidR="005109DA" w:rsidRDefault="00000000">
      <w:pPr>
        <w:widowControl w:val="0"/>
        <w:numPr>
          <w:ilvl w:val="0"/>
          <w:numId w:val="44"/>
        </w:numPr>
        <w:tabs>
          <w:tab w:val="left" w:pos="142"/>
        </w:tabs>
        <w:spacing w:before="220" w:after="0"/>
        <w:contextualSpacing/>
        <w:jc w:val="both"/>
        <w:rPr>
          <w:rFonts w:ascii="Times New Roman" w:hAnsi="Times New Roman"/>
          <w:sz w:val="26"/>
        </w:rPr>
      </w:pPr>
      <w:r>
        <w:rPr>
          <w:rFonts w:ascii="Times New Roman" w:hAnsi="Times New Roman"/>
          <w:sz w:val="26"/>
        </w:rPr>
        <w:t>при замене их на новые, на основании акта приема-сдачи выполненных работ, подтверждающих их замену;</w:t>
      </w:r>
    </w:p>
    <w:p w:rsidR="005109DA" w:rsidRDefault="00000000">
      <w:pPr>
        <w:widowControl w:val="0"/>
        <w:numPr>
          <w:ilvl w:val="0"/>
          <w:numId w:val="44"/>
        </w:numPr>
        <w:spacing w:before="220" w:after="0"/>
        <w:contextualSpacing/>
        <w:jc w:val="both"/>
        <w:rPr>
          <w:rFonts w:ascii="Times New Roman" w:hAnsi="Times New Roman"/>
          <w:sz w:val="26"/>
        </w:rPr>
      </w:pPr>
      <w:r>
        <w:rPr>
          <w:rFonts w:ascii="Times New Roman" w:hAnsi="Times New Roman"/>
          <w:sz w:val="26"/>
        </w:rPr>
        <w:t>при физическом износе автошин (по нормам списания);</w:t>
      </w:r>
    </w:p>
    <w:p w:rsidR="005109DA" w:rsidRDefault="00000000">
      <w:pPr>
        <w:widowControl w:val="0"/>
        <w:numPr>
          <w:ilvl w:val="0"/>
          <w:numId w:val="44"/>
        </w:numPr>
        <w:spacing w:before="220" w:after="0"/>
        <w:contextualSpacing/>
        <w:jc w:val="both"/>
        <w:rPr>
          <w:rFonts w:ascii="Times New Roman" w:hAnsi="Times New Roman"/>
          <w:sz w:val="26"/>
        </w:rPr>
      </w:pPr>
      <w:r>
        <w:rPr>
          <w:rFonts w:ascii="Times New Roman" w:hAnsi="Times New Roman"/>
          <w:sz w:val="26"/>
        </w:rPr>
        <w:t>в результате повреждения автошин;</w:t>
      </w:r>
    </w:p>
    <w:p w:rsidR="005109DA" w:rsidRDefault="00000000">
      <w:pPr>
        <w:widowControl w:val="0"/>
        <w:numPr>
          <w:ilvl w:val="0"/>
          <w:numId w:val="44"/>
        </w:numPr>
        <w:spacing w:before="220" w:after="0"/>
        <w:contextualSpacing/>
        <w:jc w:val="both"/>
        <w:rPr>
          <w:rFonts w:ascii="Times New Roman" w:hAnsi="Times New Roman"/>
          <w:sz w:val="26"/>
        </w:rPr>
      </w:pPr>
      <w:r>
        <w:rPr>
          <w:rFonts w:ascii="Times New Roman" w:hAnsi="Times New Roman"/>
          <w:sz w:val="26"/>
        </w:rPr>
        <w:t>при выбытии транспортного средства;</w:t>
      </w:r>
    </w:p>
    <w:p w:rsidR="005109DA" w:rsidRDefault="00000000">
      <w:pPr>
        <w:widowControl w:val="0"/>
        <w:numPr>
          <w:ilvl w:val="0"/>
          <w:numId w:val="44"/>
        </w:numPr>
        <w:spacing w:before="220" w:after="0"/>
        <w:contextualSpacing/>
        <w:jc w:val="both"/>
        <w:rPr>
          <w:rFonts w:ascii="Times New Roman" w:hAnsi="Times New Roman"/>
          <w:sz w:val="26"/>
        </w:rPr>
      </w:pPr>
      <w:r>
        <w:rPr>
          <w:rFonts w:ascii="Times New Roman" w:hAnsi="Times New Roman"/>
          <w:sz w:val="26"/>
        </w:rPr>
        <w:t xml:space="preserve">на основании решения комиссии о поступлении и выбытии, о непригодности дальнейшего использования запчастей, оформленного актом о списании материальных запасов (ф. 0510460).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Автошины, снятые с автомобиля при сезонной замене и пригодные                                   для дальнейшей эксплуатации, не подлежат списанию и хранятся до следующего сезона.</w:t>
      </w:r>
    </w:p>
    <w:p w:rsidR="005109DA" w:rsidRDefault="005109DA">
      <w:pPr>
        <w:widowControl w:val="0"/>
        <w:spacing w:after="0"/>
        <w:ind w:left="-426" w:firstLine="426"/>
        <w:contextualSpacing/>
        <w:jc w:val="both"/>
        <w:rPr>
          <w:rFonts w:ascii="Times New Roman" w:hAnsi="Times New Roman"/>
          <w:sz w:val="26"/>
        </w:rPr>
      </w:pP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 xml:space="preserve">14.9. На забалансовом </w:t>
      </w:r>
      <w:hyperlink r:id="rId98" w:history="1">
        <w:r>
          <w:rPr>
            <w:rFonts w:ascii="Times New Roman" w:hAnsi="Times New Roman"/>
            <w:sz w:val="26"/>
          </w:rPr>
          <w:t>счете 10</w:t>
        </w:r>
      </w:hyperlink>
      <w:r>
        <w:rPr>
          <w:rFonts w:ascii="Times New Roman" w:hAnsi="Times New Roman"/>
          <w:sz w:val="26"/>
        </w:rPr>
        <w:t xml:space="preserve"> "Обеспечение исполнения обязательств" учитывается:</w:t>
      </w:r>
    </w:p>
    <w:p w:rsidR="005109DA" w:rsidRDefault="00000000">
      <w:pPr>
        <w:widowControl w:val="0"/>
        <w:numPr>
          <w:ilvl w:val="0"/>
          <w:numId w:val="45"/>
        </w:numPr>
        <w:spacing w:after="0"/>
        <w:contextualSpacing/>
        <w:jc w:val="both"/>
        <w:rPr>
          <w:rFonts w:ascii="Times New Roman" w:hAnsi="Times New Roman"/>
          <w:sz w:val="26"/>
        </w:rPr>
      </w:pPr>
      <w:r>
        <w:rPr>
          <w:rFonts w:ascii="Times New Roman" w:hAnsi="Times New Roman"/>
          <w:sz w:val="26"/>
        </w:rPr>
        <w:t xml:space="preserve">банковская гарантия; </w:t>
      </w:r>
    </w:p>
    <w:p w:rsidR="005109DA" w:rsidRDefault="00000000">
      <w:pPr>
        <w:widowControl w:val="0"/>
        <w:numPr>
          <w:ilvl w:val="0"/>
          <w:numId w:val="45"/>
        </w:numPr>
        <w:spacing w:after="0"/>
        <w:contextualSpacing/>
        <w:jc w:val="both"/>
        <w:rPr>
          <w:rFonts w:ascii="Times New Roman" w:hAnsi="Times New Roman"/>
          <w:sz w:val="26"/>
        </w:rPr>
      </w:pPr>
      <w:r>
        <w:rPr>
          <w:rFonts w:ascii="Times New Roman" w:hAnsi="Times New Roman"/>
          <w:sz w:val="26"/>
        </w:rPr>
        <w:t>поручительство;</w:t>
      </w:r>
    </w:p>
    <w:p w:rsidR="005109DA" w:rsidRDefault="00000000">
      <w:pPr>
        <w:widowControl w:val="0"/>
        <w:numPr>
          <w:ilvl w:val="0"/>
          <w:numId w:val="45"/>
        </w:numPr>
        <w:spacing w:after="0"/>
        <w:contextualSpacing/>
        <w:jc w:val="both"/>
        <w:rPr>
          <w:rFonts w:ascii="Times New Roman" w:hAnsi="Times New Roman"/>
          <w:sz w:val="26"/>
        </w:rPr>
      </w:pPr>
      <w:r>
        <w:rPr>
          <w:rFonts w:ascii="Times New Roman" w:hAnsi="Times New Roman"/>
          <w:sz w:val="26"/>
        </w:rPr>
        <w:t>казначейское обеспечение обязательства - казначейский аккредитив.</w:t>
      </w:r>
    </w:p>
    <w:p w:rsidR="005109DA" w:rsidRDefault="005109DA">
      <w:pPr>
        <w:widowControl w:val="0"/>
        <w:spacing w:before="220" w:after="0" w:line="240" w:lineRule="auto"/>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14.10. Операции по </w:t>
      </w:r>
      <w:hyperlink r:id="rId99" w:history="1">
        <w:r>
          <w:rPr>
            <w:rFonts w:ascii="Times New Roman" w:hAnsi="Times New Roman"/>
            <w:sz w:val="26"/>
          </w:rPr>
          <w:t>счетам 17</w:t>
        </w:r>
      </w:hyperlink>
      <w:r>
        <w:rPr>
          <w:rFonts w:ascii="Times New Roman" w:hAnsi="Times New Roman"/>
          <w:sz w:val="26"/>
        </w:rPr>
        <w:t xml:space="preserve"> "Поступления денежных средств" и </w:t>
      </w:r>
      <w:hyperlink r:id="rId100" w:history="1">
        <w:r>
          <w:rPr>
            <w:rFonts w:ascii="Times New Roman" w:hAnsi="Times New Roman"/>
            <w:sz w:val="26"/>
          </w:rPr>
          <w:t>18</w:t>
        </w:r>
      </w:hyperlink>
      <w:r>
        <w:rPr>
          <w:rFonts w:ascii="Times New Roman" w:hAnsi="Times New Roman"/>
          <w:sz w:val="26"/>
        </w:rPr>
        <w:t xml:space="preserve"> "Выбытия денежных средств" в учете отражаются прямыми проводками.</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 Аналитический учет ведется в многографной карточке </w:t>
      </w:r>
      <w:hyperlink r:id="rId101" w:history="1">
        <w:r>
          <w:rPr>
            <w:rFonts w:ascii="Times New Roman" w:hAnsi="Times New Roman"/>
            <w:sz w:val="26"/>
          </w:rPr>
          <w:t>(ф. 0504054)</w:t>
        </w:r>
      </w:hyperlink>
      <w:r>
        <w:rPr>
          <w:rFonts w:ascii="Times New Roman" w:hAnsi="Times New Roman"/>
          <w:sz w:val="26"/>
        </w:rPr>
        <w:t xml:space="preserve">. </w:t>
      </w:r>
    </w:p>
    <w:p w:rsidR="005109DA" w:rsidRDefault="005109DA">
      <w:pPr>
        <w:widowControl w:val="0"/>
        <w:spacing w:before="220" w:after="0" w:line="240" w:lineRule="auto"/>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14.11. </w:t>
      </w:r>
      <w:bookmarkStart w:id="23" w:name="_Hlk121753001"/>
      <w:r>
        <w:rPr>
          <w:rFonts w:ascii="Times New Roman" w:hAnsi="Times New Roman"/>
          <w:sz w:val="26"/>
        </w:rPr>
        <w:t xml:space="preserve">Забалансовый </w:t>
      </w:r>
      <w:hyperlink r:id="rId102" w:history="1">
        <w:r>
          <w:rPr>
            <w:rFonts w:ascii="Times New Roman" w:hAnsi="Times New Roman"/>
            <w:sz w:val="26"/>
          </w:rPr>
          <w:t>счет 20 "Задолженность, невостребованная кредиторами" предназначен для учета:</w:t>
        </w:r>
      </w:hyperlink>
    </w:p>
    <w:p w:rsidR="005109DA" w:rsidRDefault="00000000">
      <w:pPr>
        <w:widowControl w:val="0"/>
        <w:numPr>
          <w:ilvl w:val="0"/>
          <w:numId w:val="46"/>
        </w:numPr>
        <w:spacing w:before="220" w:after="0"/>
        <w:contextualSpacing/>
        <w:jc w:val="both"/>
        <w:rPr>
          <w:rFonts w:ascii="Times New Roman" w:hAnsi="Times New Roman"/>
          <w:sz w:val="26"/>
        </w:rPr>
      </w:pPr>
      <w:hyperlink r:id="rId103" w:history="1">
        <w:r>
          <w:rPr>
            <w:rFonts w:ascii="Times New Roman" w:hAnsi="Times New Roman"/>
            <w:sz w:val="26"/>
          </w:rPr>
          <w:t xml:space="preserve"> задолженности,  не востребованной кредиторами, вытекающей из условий договора, контракта;</w:t>
        </w:r>
      </w:hyperlink>
    </w:p>
    <w:p w:rsidR="005109DA" w:rsidRDefault="00000000">
      <w:pPr>
        <w:widowControl w:val="0"/>
        <w:numPr>
          <w:ilvl w:val="0"/>
          <w:numId w:val="46"/>
        </w:numPr>
        <w:spacing w:before="220" w:after="0"/>
        <w:contextualSpacing/>
        <w:jc w:val="both"/>
        <w:rPr>
          <w:rFonts w:ascii="Times New Roman" w:hAnsi="Times New Roman"/>
          <w:sz w:val="26"/>
        </w:rPr>
      </w:pPr>
      <w:hyperlink r:id="rId104" w:history="1">
        <w:r>
          <w:rPr>
            <w:rFonts w:ascii="Times New Roman" w:hAnsi="Times New Roman"/>
            <w:sz w:val="26"/>
          </w:rPr>
          <w:t xml:space="preserve"> сумм кредиторской задолженности, не подтвержденных по результатам инвентаризации кредитором;</w:t>
        </w:r>
      </w:hyperlink>
    </w:p>
    <w:p w:rsidR="005109DA" w:rsidRDefault="00000000">
      <w:pPr>
        <w:widowControl w:val="0"/>
        <w:numPr>
          <w:ilvl w:val="0"/>
          <w:numId w:val="46"/>
        </w:numPr>
        <w:spacing w:before="220" w:after="0"/>
        <w:contextualSpacing/>
        <w:jc w:val="both"/>
        <w:rPr>
          <w:rFonts w:ascii="Times New Roman" w:hAnsi="Times New Roman"/>
          <w:sz w:val="26"/>
        </w:rPr>
      </w:pPr>
      <w:hyperlink r:id="rId105" w:history="1">
        <w:r>
          <w:rPr>
            <w:rFonts w:ascii="Times New Roman" w:hAnsi="Times New Roman"/>
            <w:sz w:val="26"/>
          </w:rPr>
          <w:t xml:space="preserve">кредиторская задолженность, образовавшаяся в связи с переплатами в бюджет, в том числе налогов. </w:t>
        </w:r>
      </w:hyperlink>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Списание с балансового учета сумм кредиторской задолженности,                                     не востребованной кредиторами, с одновременным принятием ее к забалансовому учету  для наблюдения в течение срока исковой давности (три года) производится                   по решению Комиссии.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Задолженность  подлежит восстановлению на балансовом учете, с одновременным списанием с забалансового учета, в случае если кредитор предъявил свои требования. </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При наличии документов, подтверждающих ликвидацию (смерть) кредитора,                     и отсутствии требований со стороны правопреемников (наследников), списываемая                   с балансового учета  задолженность на забалансовом счете не отражается.</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Списание задолженности  осуществляется по итогам инвентаризации на основании решения инвентаризационной комиссии в следующих случаях:</w:t>
      </w:r>
    </w:p>
    <w:p w:rsidR="005109DA" w:rsidRDefault="00000000">
      <w:pPr>
        <w:widowControl w:val="0"/>
        <w:numPr>
          <w:ilvl w:val="0"/>
          <w:numId w:val="47"/>
        </w:numPr>
        <w:spacing w:before="220" w:after="0"/>
        <w:contextualSpacing/>
        <w:jc w:val="both"/>
        <w:rPr>
          <w:rFonts w:ascii="Times New Roman" w:hAnsi="Times New Roman"/>
          <w:sz w:val="26"/>
        </w:rPr>
      </w:pPr>
      <w:r>
        <w:rPr>
          <w:rFonts w:ascii="Times New Roman" w:hAnsi="Times New Roman"/>
          <w:sz w:val="26"/>
        </w:rPr>
        <w:t>завершился срок возможного возобновления процедуры взыскания задолженности (три года);</w:t>
      </w:r>
    </w:p>
    <w:p w:rsidR="005109DA" w:rsidRDefault="00000000">
      <w:pPr>
        <w:widowControl w:val="0"/>
        <w:numPr>
          <w:ilvl w:val="0"/>
          <w:numId w:val="47"/>
        </w:numPr>
        <w:spacing w:before="220" w:after="0"/>
        <w:contextualSpacing/>
        <w:jc w:val="both"/>
        <w:rPr>
          <w:rFonts w:ascii="Times New Roman" w:hAnsi="Times New Roman"/>
          <w:sz w:val="26"/>
        </w:rPr>
      </w:pPr>
      <w:r>
        <w:rPr>
          <w:rFonts w:ascii="Times New Roman" w:hAnsi="Times New Roman"/>
          <w:sz w:val="26"/>
        </w:rPr>
        <w:t>имеются документы, подтверждающие прекращение обязательства в связи                 со смертью (ликвидацией) контрагента.</w:t>
      </w:r>
      <w:bookmarkEnd w:id="23"/>
    </w:p>
    <w:p w:rsidR="005109DA" w:rsidRDefault="005109DA">
      <w:pPr>
        <w:widowControl w:val="0"/>
        <w:spacing w:before="220" w:after="0" w:line="240" w:lineRule="auto"/>
        <w:ind w:left="-426" w:firstLine="426"/>
        <w:contextualSpacing/>
        <w:jc w:val="both"/>
        <w:rPr>
          <w:rFonts w:ascii="Times New Roman" w:hAnsi="Times New Roman"/>
          <w:i/>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 14.12.  На забалансовом </w:t>
      </w:r>
      <w:hyperlink r:id="rId106" w:history="1">
        <w:r>
          <w:rPr>
            <w:rFonts w:ascii="Times New Roman" w:hAnsi="Times New Roman"/>
            <w:sz w:val="26"/>
          </w:rPr>
          <w:t>счете 21</w:t>
        </w:r>
      </w:hyperlink>
      <w:r>
        <w:rPr>
          <w:rFonts w:ascii="Times New Roman" w:hAnsi="Times New Roman"/>
          <w:sz w:val="26"/>
        </w:rPr>
        <w:t xml:space="preserve"> "Основные средства в эксплуатации" учитываются</w:t>
      </w:r>
      <w:r>
        <w:rPr>
          <w:rFonts w:ascii="Calibri" w:hAnsi="Calibri"/>
        </w:rPr>
        <w:t xml:space="preserve">  </w:t>
      </w:r>
      <w:r>
        <w:rPr>
          <w:rFonts w:ascii="Times New Roman" w:hAnsi="Times New Roman"/>
          <w:sz w:val="26"/>
        </w:rPr>
        <w:t>основные средства, находящиеся в эксплуатации, стоимостью                              до 10 000 рублей включительно, за исключением объектов библиотечного фонда и объектов недвижимого имущества.</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Принятие на забалансовый счет 21"Основные средства в эксплуатации" отражается по балансовой стоимости, на основании первичного документа, подтверждающий передачу объекта в эксплуатацию.</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Внутреннее перемещение основных средств отражается путем изменения ответственного лица и места хранения на основании Накладной на внутреннее перемещение объектов нефинансовых активов (ф.0510450).</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Выбытие объектов основных средств, в связи с выявлением порчи, хищений, недостачи, производится по балансовой стоимости введенного в эксплуатацию объекта и принятого к забалансовому учету.</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До момента утилизации (уничтожения) списываемых объектов основных средств забалансовый сет 02 «Материальные ценности на хранении» не уменьшается.</w:t>
      </w:r>
    </w:p>
    <w:p w:rsidR="005109DA" w:rsidRDefault="00000000">
      <w:pPr>
        <w:widowControl w:val="0"/>
        <w:spacing w:before="220" w:after="0"/>
        <w:ind w:left="-426" w:firstLine="426"/>
        <w:contextualSpacing/>
        <w:jc w:val="both"/>
        <w:rPr>
          <w:rFonts w:ascii="Times New Roman" w:hAnsi="Times New Roman"/>
          <w:i/>
          <w:sz w:val="26"/>
        </w:rPr>
      </w:pPr>
      <w:r>
        <w:rPr>
          <w:rFonts w:ascii="Times New Roman" w:hAnsi="Times New Roman"/>
          <w:sz w:val="26"/>
        </w:rPr>
        <w:t>При изъятии из оперативного управления путем передачи иному правообладателю имущество подлежит восстановлению на балансовых счетах, с одновременным списанием его с забалансового счета 21"Основные средства в эксплуатации".</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Используемые для озеленения многолетние насаждения учитываются в составе основных средств  на забалансовом счете 0 21.38.</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Правила учета СГС "Непроизведенные активы" не применяется.</w:t>
      </w:r>
    </w:p>
    <w:p w:rsidR="005109DA" w:rsidRDefault="00000000">
      <w:pPr>
        <w:widowControl w:val="0"/>
        <w:spacing w:before="220" w:after="0" w:line="240" w:lineRule="auto"/>
        <w:ind w:left="-426" w:firstLine="426"/>
        <w:contextualSpacing/>
        <w:jc w:val="both"/>
        <w:rPr>
          <w:rFonts w:ascii="Times New Roman" w:hAnsi="Times New Roman"/>
          <w:i/>
          <w:sz w:val="26"/>
        </w:rPr>
      </w:pPr>
      <w:r>
        <w:rPr>
          <w:rFonts w:ascii="Times New Roman" w:hAnsi="Times New Roman"/>
          <w:i/>
          <w:sz w:val="26"/>
        </w:rPr>
        <w:t xml:space="preserve"> </w:t>
      </w:r>
      <w:bookmarkStart w:id="24" w:name="_Hlk121753376"/>
      <w:r>
        <w:rPr>
          <w:rFonts w:ascii="Times New Roman" w:hAnsi="Times New Roman"/>
          <w:sz w:val="26"/>
        </w:rPr>
        <w:t xml:space="preserve"> </w:t>
      </w:r>
      <w:bookmarkEnd w:id="24"/>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14.13. На счете 22 "Материальные ценности, полученные по централизованному снабжению" учитываются материальные ценности, поступившие в рамках централизованного снабжения:</w:t>
      </w:r>
    </w:p>
    <w:p w:rsidR="005109DA" w:rsidRDefault="00000000">
      <w:pPr>
        <w:widowControl w:val="0"/>
        <w:numPr>
          <w:ilvl w:val="0"/>
          <w:numId w:val="48"/>
        </w:numPr>
        <w:spacing w:before="220" w:after="0"/>
        <w:ind w:left="-426" w:firstLine="852"/>
        <w:contextualSpacing/>
        <w:jc w:val="both"/>
        <w:rPr>
          <w:rFonts w:ascii="Times New Roman" w:hAnsi="Times New Roman"/>
          <w:sz w:val="26"/>
        </w:rPr>
      </w:pPr>
      <w:r>
        <w:rPr>
          <w:rFonts w:ascii="Times New Roman" w:hAnsi="Times New Roman"/>
          <w:sz w:val="26"/>
        </w:rPr>
        <w:t>без подтверждающих документов: в условной оценке: один объект, один рубль;</w:t>
      </w:r>
    </w:p>
    <w:p w:rsidR="005109DA" w:rsidRDefault="00000000">
      <w:pPr>
        <w:widowControl w:val="0"/>
        <w:numPr>
          <w:ilvl w:val="0"/>
          <w:numId w:val="48"/>
        </w:numPr>
        <w:spacing w:before="220" w:after="0"/>
        <w:contextualSpacing/>
        <w:jc w:val="both"/>
        <w:rPr>
          <w:rFonts w:ascii="Times New Roman" w:hAnsi="Times New Roman"/>
          <w:sz w:val="26"/>
        </w:rPr>
      </w:pPr>
      <w:r>
        <w:rPr>
          <w:rFonts w:ascii="Times New Roman" w:hAnsi="Times New Roman"/>
          <w:sz w:val="26"/>
        </w:rPr>
        <w:t xml:space="preserve"> по стоимости сопроводительных документов.</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Аналитический учет по </w:t>
      </w:r>
      <w:hyperlink r:id="rId107" w:history="1">
        <w:r>
          <w:rPr>
            <w:rFonts w:ascii="Times New Roman" w:hAnsi="Times New Roman"/>
            <w:sz w:val="26"/>
          </w:rPr>
          <w:t>счету 22</w:t>
        </w:r>
      </w:hyperlink>
      <w:r>
        <w:rPr>
          <w:rFonts w:ascii="Times New Roman" w:hAnsi="Times New Roman"/>
          <w:sz w:val="26"/>
        </w:rPr>
        <w:t xml:space="preserve"> "Материальные ценности, полученные                          по централизованному снабжению" ведется в Карточке количественно-суммового учета материальных ценностей в разрезе объектов имущества, контрагентов, получателей, мест хранения и правовых оснований.</w:t>
      </w:r>
    </w:p>
    <w:p w:rsidR="005109DA" w:rsidRDefault="005109DA">
      <w:pPr>
        <w:widowControl w:val="0"/>
        <w:spacing w:before="220" w:after="0" w:line="240" w:lineRule="auto"/>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14.14. На забалансовом счете 23 «Периодические издания для пользования»  учитываются периодические издания (газеты, журналы, брошюры и т.д.), приобретаемые учреждением для комплектации библиотечного фонда.</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Периодические издания принимаются к учету в условной оценке: </w:t>
      </w:r>
    </w:p>
    <w:p w:rsidR="005109DA" w:rsidRDefault="00000000">
      <w:pPr>
        <w:widowControl w:val="0"/>
        <w:numPr>
          <w:ilvl w:val="0"/>
          <w:numId w:val="49"/>
        </w:numPr>
        <w:spacing w:before="220" w:after="0"/>
        <w:contextualSpacing/>
        <w:jc w:val="both"/>
        <w:rPr>
          <w:rFonts w:ascii="Times New Roman" w:hAnsi="Times New Roman"/>
          <w:sz w:val="26"/>
        </w:rPr>
      </w:pPr>
      <w:r>
        <w:rPr>
          <w:rFonts w:ascii="Times New Roman" w:hAnsi="Times New Roman"/>
          <w:sz w:val="26"/>
        </w:rPr>
        <w:t>один журнал - один рубль;</w:t>
      </w:r>
    </w:p>
    <w:p w:rsidR="005109DA" w:rsidRDefault="00000000">
      <w:pPr>
        <w:widowControl w:val="0"/>
        <w:numPr>
          <w:ilvl w:val="0"/>
          <w:numId w:val="49"/>
        </w:numPr>
        <w:spacing w:before="220" w:after="0"/>
        <w:contextualSpacing/>
        <w:jc w:val="both"/>
        <w:rPr>
          <w:rFonts w:ascii="Times New Roman" w:hAnsi="Times New Roman"/>
          <w:sz w:val="26"/>
        </w:rPr>
      </w:pPr>
      <w:r>
        <w:rPr>
          <w:rFonts w:ascii="Times New Roman" w:hAnsi="Times New Roman"/>
          <w:sz w:val="26"/>
        </w:rPr>
        <w:t>одна годовая подписка газет – один рубль.</w:t>
      </w:r>
    </w:p>
    <w:p w:rsidR="005109DA" w:rsidRDefault="00000000">
      <w:pPr>
        <w:widowControl w:val="0"/>
        <w:spacing w:before="220" w:after="0" w:line="240" w:lineRule="auto"/>
        <w:ind w:left="-426" w:firstLine="426"/>
        <w:contextualSpacing/>
        <w:jc w:val="both"/>
        <w:rPr>
          <w:rFonts w:ascii="Times New Roman" w:hAnsi="Times New Roman"/>
          <w:sz w:val="26"/>
        </w:rPr>
      </w:pPr>
      <w:r>
        <w:rPr>
          <w:rFonts w:ascii="Times New Roman" w:hAnsi="Times New Roman"/>
          <w:sz w:val="26"/>
        </w:rPr>
        <w:t>Списание с забалансового учета производится при утрате потребительских свойств (ветхость, дефектность) на основании решения Комиссии.</w:t>
      </w:r>
    </w:p>
    <w:p w:rsidR="005109DA" w:rsidRDefault="005109DA">
      <w:pPr>
        <w:widowControl w:val="0"/>
        <w:spacing w:before="220" w:after="0" w:line="240" w:lineRule="auto"/>
        <w:ind w:left="-426" w:firstLine="426"/>
        <w:contextualSpacing/>
        <w:jc w:val="both"/>
        <w:rPr>
          <w:rFonts w:ascii="Times New Roman" w:hAnsi="Times New Roman"/>
          <w:sz w:val="26"/>
        </w:rPr>
      </w:pP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 xml:space="preserve">14.15. На забалансовом счете 25 «Имущество, переданное в возмездное пользование (аренду)» учитываются объекты неоперационной (финансовой) аренды                         и операционной аренды в части предоставленных прав пользования имуществом                         по договору аренды в возмездное пользование. </w:t>
      </w: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Начисление амортизации на объекты неоперационной (финансовой) аренды  осуществляется аналогично порядку начислению амортизации на объекты основных средств.</w:t>
      </w: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Имущество, переданное в аренду, принимается к забалансовому учету                                по стоимости, указанной в акте о приеме-передаче объектов нефинансовых активов                       (ф. 0510448).</w:t>
      </w: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Списание стоимости имущества с забалансового счета 25 производится  после его возврата арендатором по ранее учтенной стоимости, на основании акта                                              о приеме-передаче объектов нефинансовых активов (ф. 0510448).</w:t>
      </w:r>
    </w:p>
    <w:p w:rsidR="005109DA" w:rsidRDefault="00000000">
      <w:pPr>
        <w:widowControl w:val="0"/>
        <w:spacing w:after="0" w:line="240" w:lineRule="auto"/>
        <w:ind w:left="-426" w:firstLine="426"/>
        <w:contextualSpacing/>
        <w:jc w:val="both"/>
        <w:rPr>
          <w:rFonts w:ascii="Times New Roman" w:hAnsi="Times New Roman"/>
          <w:sz w:val="26"/>
        </w:rPr>
      </w:pPr>
      <w:r>
        <w:rPr>
          <w:rFonts w:ascii="Times New Roman" w:hAnsi="Times New Roman"/>
          <w:sz w:val="26"/>
        </w:rPr>
        <w:t xml:space="preserve"> </w:t>
      </w: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14.16. На забалансовом счете 26 "Имущество, переданное в безвозмездное пользование" учитывается  имущество, предоставленное (переданное) в безвозмездное пользование без закрепления права оперативного управления.</w:t>
      </w: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 xml:space="preserve">Объекты  принимаются к забалансовому учету по стоимости, указанной в акте                         о приеме-передаче объектов нефинансовых активов (ф. 0510448). </w:t>
      </w: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Выбытие имущества со счета отражается при возврате его пользователем                        по стоимости ранее принятой к учету.</w:t>
      </w:r>
    </w:p>
    <w:p w:rsidR="005109DA" w:rsidRDefault="005109DA">
      <w:pPr>
        <w:widowControl w:val="0"/>
        <w:spacing w:after="0" w:line="240" w:lineRule="auto"/>
        <w:ind w:left="-426" w:firstLine="426"/>
        <w:contextualSpacing/>
        <w:jc w:val="both"/>
        <w:rPr>
          <w:rFonts w:ascii="Times New Roman" w:hAnsi="Times New Roman"/>
          <w:i/>
          <w:sz w:val="26"/>
        </w:rPr>
      </w:pP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14.17. На забалансовом счете 27</w:t>
      </w:r>
      <w:r>
        <w:rPr>
          <w:rFonts w:ascii="Calibri" w:hAnsi="Calibri"/>
        </w:rPr>
        <w:t xml:space="preserve"> </w:t>
      </w:r>
      <w:r>
        <w:rPr>
          <w:rFonts w:ascii="Times New Roman" w:hAnsi="Times New Roman"/>
          <w:sz w:val="26"/>
        </w:rPr>
        <w:t xml:space="preserve">"Материальные ценности, выданные в личное пользование работникам (сотрудникам)" учитываются объекты основных средств, материальных запасов переданные в личное пользование работникам для выполнения ими служебных (должностных) обязанностей (в том числе для использования вне территории учреждения и в нерабочее время). </w:t>
      </w: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Имущество, переданное в личное пользование, оформляется актом                         приема-передачи объектов, полученных в личное пользование (ф.0510434),                             с одновременным отражением на забалансовом счете 27 по стоимости списания его                    с балансового учета.</w:t>
      </w:r>
    </w:p>
    <w:p w:rsidR="005109DA" w:rsidRDefault="00000000">
      <w:pPr>
        <w:widowControl w:val="0"/>
        <w:spacing w:after="0"/>
        <w:ind w:left="-426" w:firstLine="426"/>
        <w:contextualSpacing/>
        <w:jc w:val="both"/>
        <w:rPr>
          <w:rFonts w:ascii="Times New Roman" w:hAnsi="Times New Roman"/>
          <w:sz w:val="26"/>
        </w:rPr>
      </w:pPr>
      <w:r>
        <w:rPr>
          <w:rFonts w:ascii="Times New Roman" w:hAnsi="Times New Roman"/>
          <w:sz w:val="26"/>
        </w:rPr>
        <w:t>В пользование сотрудникам административно-управленческого персонала, педагогического персонала, врачам, среднему медицинскому персоналу, иной категории персонала при наличии подтвержденной потребности в использовании имущества субъекта централизованного учета  в нерабочее время и вне пределов могут быть переданы:</w:t>
      </w:r>
    </w:p>
    <w:p w:rsidR="005109DA" w:rsidRDefault="00000000">
      <w:pPr>
        <w:widowControl w:val="0"/>
        <w:numPr>
          <w:ilvl w:val="0"/>
          <w:numId w:val="50"/>
        </w:numPr>
        <w:spacing w:after="0"/>
        <w:contextualSpacing/>
        <w:jc w:val="both"/>
        <w:rPr>
          <w:rFonts w:ascii="Times New Roman" w:hAnsi="Times New Roman"/>
          <w:sz w:val="26"/>
        </w:rPr>
      </w:pPr>
      <w:r>
        <w:rPr>
          <w:rFonts w:ascii="Times New Roman" w:hAnsi="Times New Roman"/>
          <w:sz w:val="26"/>
        </w:rPr>
        <w:t>триммер, мотокоса;</w:t>
      </w:r>
    </w:p>
    <w:p w:rsidR="005109DA" w:rsidRDefault="00000000">
      <w:pPr>
        <w:widowControl w:val="0"/>
        <w:numPr>
          <w:ilvl w:val="0"/>
          <w:numId w:val="50"/>
        </w:numPr>
        <w:spacing w:before="220" w:after="0"/>
        <w:contextualSpacing/>
        <w:jc w:val="both"/>
        <w:rPr>
          <w:rFonts w:ascii="Times New Roman" w:hAnsi="Times New Roman"/>
          <w:sz w:val="26"/>
        </w:rPr>
      </w:pPr>
      <w:r>
        <w:rPr>
          <w:rFonts w:ascii="Times New Roman" w:hAnsi="Times New Roman"/>
          <w:sz w:val="26"/>
        </w:rPr>
        <w:t>копировально-множительная техника;</w:t>
      </w:r>
    </w:p>
    <w:p w:rsidR="005109DA" w:rsidRDefault="00000000">
      <w:pPr>
        <w:widowControl w:val="0"/>
        <w:numPr>
          <w:ilvl w:val="0"/>
          <w:numId w:val="50"/>
        </w:numPr>
        <w:spacing w:before="220" w:after="0"/>
        <w:contextualSpacing/>
        <w:jc w:val="both"/>
        <w:rPr>
          <w:rFonts w:ascii="Times New Roman" w:hAnsi="Times New Roman"/>
          <w:sz w:val="26"/>
        </w:rPr>
      </w:pPr>
      <w:r>
        <w:rPr>
          <w:rFonts w:ascii="Times New Roman" w:hAnsi="Times New Roman"/>
          <w:sz w:val="26"/>
        </w:rPr>
        <w:t>ноутбук, стационарный компьютер;</w:t>
      </w:r>
    </w:p>
    <w:p w:rsidR="005109DA" w:rsidRDefault="00000000">
      <w:pPr>
        <w:widowControl w:val="0"/>
        <w:numPr>
          <w:ilvl w:val="0"/>
          <w:numId w:val="50"/>
        </w:numPr>
        <w:spacing w:before="220" w:after="0"/>
        <w:contextualSpacing/>
        <w:jc w:val="both"/>
        <w:rPr>
          <w:rFonts w:ascii="Times New Roman" w:hAnsi="Times New Roman"/>
          <w:sz w:val="26"/>
        </w:rPr>
      </w:pPr>
      <w:r>
        <w:rPr>
          <w:rFonts w:ascii="Times New Roman" w:hAnsi="Times New Roman"/>
          <w:sz w:val="26"/>
        </w:rPr>
        <w:t>принтер;</w:t>
      </w:r>
    </w:p>
    <w:p w:rsidR="005109DA" w:rsidRDefault="00000000">
      <w:pPr>
        <w:widowControl w:val="0"/>
        <w:numPr>
          <w:ilvl w:val="0"/>
          <w:numId w:val="50"/>
        </w:numPr>
        <w:spacing w:before="220" w:after="0"/>
        <w:contextualSpacing/>
        <w:jc w:val="both"/>
        <w:rPr>
          <w:rFonts w:ascii="Times New Roman" w:hAnsi="Times New Roman"/>
          <w:sz w:val="26"/>
        </w:rPr>
      </w:pPr>
      <w:r>
        <w:rPr>
          <w:rFonts w:ascii="Times New Roman" w:hAnsi="Times New Roman"/>
          <w:sz w:val="26"/>
        </w:rPr>
        <w:t xml:space="preserve">мышь, клавиатура; </w:t>
      </w:r>
    </w:p>
    <w:p w:rsidR="005109DA" w:rsidRDefault="00000000">
      <w:pPr>
        <w:widowControl w:val="0"/>
        <w:numPr>
          <w:ilvl w:val="0"/>
          <w:numId w:val="50"/>
        </w:numPr>
        <w:spacing w:before="220" w:after="0"/>
        <w:contextualSpacing/>
        <w:jc w:val="both"/>
        <w:rPr>
          <w:rFonts w:ascii="Times New Roman" w:hAnsi="Times New Roman"/>
          <w:sz w:val="26"/>
        </w:rPr>
      </w:pPr>
      <w:r>
        <w:rPr>
          <w:rFonts w:ascii="Times New Roman" w:hAnsi="Times New Roman"/>
          <w:sz w:val="26"/>
        </w:rPr>
        <w:t>бензомоторные пилы;</w:t>
      </w:r>
    </w:p>
    <w:p w:rsidR="005109DA" w:rsidRDefault="00000000">
      <w:pPr>
        <w:widowControl w:val="0"/>
        <w:numPr>
          <w:ilvl w:val="0"/>
          <w:numId w:val="50"/>
        </w:numPr>
        <w:spacing w:before="220" w:after="0"/>
        <w:contextualSpacing/>
        <w:jc w:val="both"/>
        <w:rPr>
          <w:rFonts w:ascii="Times New Roman" w:hAnsi="Times New Roman"/>
          <w:sz w:val="26"/>
        </w:rPr>
      </w:pPr>
      <w:r>
        <w:rPr>
          <w:rFonts w:ascii="Times New Roman" w:hAnsi="Times New Roman"/>
          <w:sz w:val="26"/>
        </w:rPr>
        <w:t>сучкорезы;</w:t>
      </w:r>
    </w:p>
    <w:p w:rsidR="005109DA" w:rsidRDefault="00000000">
      <w:pPr>
        <w:widowControl w:val="0"/>
        <w:numPr>
          <w:ilvl w:val="0"/>
          <w:numId w:val="50"/>
        </w:numPr>
        <w:spacing w:before="220" w:after="0"/>
        <w:contextualSpacing/>
        <w:jc w:val="both"/>
        <w:rPr>
          <w:rFonts w:ascii="Times New Roman" w:hAnsi="Times New Roman"/>
          <w:sz w:val="26"/>
        </w:rPr>
      </w:pPr>
      <w:r>
        <w:rPr>
          <w:rFonts w:ascii="Times New Roman" w:hAnsi="Times New Roman"/>
          <w:sz w:val="26"/>
        </w:rPr>
        <w:t>инструменты и приспособления целевого назначения;</w:t>
      </w:r>
    </w:p>
    <w:p w:rsidR="005109DA" w:rsidRDefault="00000000">
      <w:pPr>
        <w:widowControl w:val="0"/>
        <w:numPr>
          <w:ilvl w:val="0"/>
          <w:numId w:val="50"/>
        </w:numPr>
        <w:spacing w:before="220" w:after="0"/>
        <w:contextualSpacing/>
        <w:jc w:val="both"/>
        <w:rPr>
          <w:rFonts w:ascii="Times New Roman" w:hAnsi="Times New Roman"/>
          <w:sz w:val="26"/>
        </w:rPr>
      </w:pPr>
      <w:r>
        <w:rPr>
          <w:rFonts w:ascii="Times New Roman" w:hAnsi="Times New Roman"/>
          <w:sz w:val="26"/>
        </w:rPr>
        <w:t>специальная одежда и обувь;</w:t>
      </w:r>
    </w:p>
    <w:p w:rsidR="005109DA" w:rsidRDefault="00000000">
      <w:pPr>
        <w:widowControl w:val="0"/>
        <w:numPr>
          <w:ilvl w:val="0"/>
          <w:numId w:val="50"/>
        </w:numPr>
        <w:spacing w:before="220" w:after="0"/>
        <w:contextualSpacing/>
        <w:jc w:val="both"/>
        <w:rPr>
          <w:rFonts w:ascii="Times New Roman" w:hAnsi="Times New Roman"/>
          <w:sz w:val="26"/>
        </w:rPr>
      </w:pPr>
      <w:r>
        <w:rPr>
          <w:rFonts w:ascii="Times New Roman" w:hAnsi="Times New Roman"/>
          <w:sz w:val="26"/>
        </w:rPr>
        <w:t>иное имущество,  при наличии подтвержденной потребности.</w:t>
      </w:r>
    </w:p>
    <w:p w:rsidR="005109DA" w:rsidRDefault="00000000">
      <w:pPr>
        <w:widowControl w:val="0"/>
        <w:spacing w:after="0" w:line="240" w:lineRule="auto"/>
        <w:ind w:left="-426" w:firstLine="426"/>
        <w:contextualSpacing/>
        <w:jc w:val="both"/>
        <w:rPr>
          <w:rFonts w:ascii="Times New Roman" w:hAnsi="Times New Roman"/>
          <w:sz w:val="26"/>
        </w:rPr>
      </w:pPr>
      <w:r>
        <w:rPr>
          <w:rFonts w:ascii="Times New Roman" w:hAnsi="Times New Roman"/>
          <w:sz w:val="26"/>
        </w:rPr>
        <w:t>Возврат имущества работником осуществляется в течение одного рабочего дня                   со дня, получения письменного распоряжения руководителя субъекта централизованного учета.</w:t>
      </w:r>
      <w:bookmarkEnd w:id="22"/>
    </w:p>
    <w:p w:rsidR="005109DA" w:rsidRDefault="005109DA">
      <w:pPr>
        <w:widowControl w:val="0"/>
        <w:spacing w:after="0" w:line="240" w:lineRule="auto"/>
        <w:ind w:left="-426" w:firstLine="426"/>
        <w:contextualSpacing/>
        <w:jc w:val="both"/>
        <w:rPr>
          <w:rFonts w:ascii="Times New Roman" w:hAnsi="Times New Roman"/>
          <w:sz w:val="26"/>
        </w:rPr>
      </w:pPr>
    </w:p>
    <w:p w:rsidR="005109DA" w:rsidRDefault="00000000">
      <w:pPr>
        <w:pStyle w:val="ConsPlusNormal"/>
        <w:spacing w:before="220"/>
        <w:ind w:left="-426" w:firstLine="426"/>
        <w:contextualSpacing/>
        <w:jc w:val="center"/>
        <w:rPr>
          <w:rFonts w:ascii="Times New Roman" w:hAnsi="Times New Roman"/>
          <w:b/>
          <w:sz w:val="26"/>
        </w:rPr>
      </w:pPr>
      <w:r>
        <w:rPr>
          <w:rFonts w:ascii="Times New Roman" w:hAnsi="Times New Roman"/>
          <w:b/>
          <w:sz w:val="26"/>
        </w:rPr>
        <w:t xml:space="preserve">15. Порядок организации </w:t>
      </w:r>
    </w:p>
    <w:p w:rsidR="005109DA" w:rsidRDefault="00000000">
      <w:pPr>
        <w:pStyle w:val="ConsPlusNormal"/>
        <w:spacing w:before="220"/>
        <w:ind w:left="-426" w:firstLine="426"/>
        <w:contextualSpacing/>
        <w:jc w:val="center"/>
        <w:rPr>
          <w:rFonts w:ascii="Times New Roman" w:hAnsi="Times New Roman"/>
          <w:b/>
          <w:sz w:val="26"/>
        </w:rPr>
      </w:pPr>
      <w:r>
        <w:rPr>
          <w:rFonts w:ascii="Times New Roman" w:hAnsi="Times New Roman"/>
          <w:b/>
          <w:sz w:val="26"/>
        </w:rPr>
        <w:t>и обеспечения внутреннего финансового контроля</w:t>
      </w:r>
    </w:p>
    <w:p w:rsidR="005109DA" w:rsidRDefault="005109DA">
      <w:pPr>
        <w:pStyle w:val="ConsPlusNormal"/>
        <w:spacing w:before="220" w:line="276" w:lineRule="auto"/>
        <w:ind w:left="-426" w:firstLine="426"/>
        <w:contextualSpacing/>
        <w:jc w:val="center"/>
        <w:rPr>
          <w:rFonts w:ascii="Times New Roman" w:hAnsi="Times New Roman"/>
          <w:b/>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15.1. Принципы и задачи внутреннего финансового контроля, субъекта централизованного учета регулирующие процесс внутреннего контроля, направлены на обеспечение законности и целесообразности операций</w:t>
      </w:r>
      <w:r>
        <w:rPr>
          <w:sz w:val="26"/>
        </w:rPr>
        <w:t xml:space="preserve"> </w:t>
      </w:r>
      <w:r>
        <w:rPr>
          <w:rFonts w:ascii="Times New Roman" w:hAnsi="Times New Roman"/>
          <w:sz w:val="26"/>
        </w:rPr>
        <w:t>финансово-хозяйственной деятельности субъекта централизованного учета, в том числе полноты и достоверности данных, используемых для выявления их недостатков, их причин и условий возникновения и устранения нарушений.</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ч.ч.1,3 ст.9 Закона № 402-ФЗ ", п.п.20,23 СГС "Концептуальные основы бухучета", п.9.</w:t>
      </w:r>
      <w:r>
        <w:rPr>
          <w:i/>
        </w:rPr>
        <w:t xml:space="preserve"> </w:t>
      </w:r>
      <w:r>
        <w:rPr>
          <w:rFonts w:ascii="Times New Roman" w:hAnsi="Times New Roman"/>
          <w:i/>
          <w:sz w:val="26"/>
        </w:rPr>
        <w:t>СГС "Учетная политика")</w:t>
      </w:r>
    </w:p>
    <w:p w:rsidR="005109DA" w:rsidRDefault="005109DA">
      <w:pPr>
        <w:pStyle w:val="ConsPlusNormal"/>
        <w:spacing w:before="220" w:line="276" w:lineRule="auto"/>
        <w:ind w:left="-426" w:firstLine="426"/>
        <w:contextualSpacing/>
        <w:jc w:val="both"/>
        <w:rPr>
          <w:rFonts w:ascii="Times New Roman" w:hAnsi="Times New Roman"/>
          <w:b/>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15.2. Формы и методы внутреннего финансового контроля совершаемых</w:t>
      </w:r>
      <w:r>
        <w:rPr>
          <w:rFonts w:ascii="Times New Roman" w:hAnsi="Times New Roman"/>
          <w:b/>
          <w:sz w:val="26"/>
        </w:rPr>
        <w:t xml:space="preserve"> </w:t>
      </w:r>
      <w:r>
        <w:rPr>
          <w:rFonts w:ascii="Times New Roman" w:hAnsi="Times New Roman"/>
          <w:sz w:val="26"/>
        </w:rPr>
        <w:t>фактов хозяйственной деятельности, периодичность плановых мероприятий субъекта централизованного учета определяются в соответствии с Порядком организации и обеспечения внутреннего финансового контроля (Приложение №21</w:t>
      </w:r>
    </w:p>
    <w:p w:rsidR="005109DA" w:rsidRDefault="00000000">
      <w:pPr>
        <w:pStyle w:val="ConsPlusNormal"/>
        <w:spacing w:before="220" w:line="276" w:lineRule="auto"/>
        <w:ind w:left="-426" w:firstLine="426"/>
        <w:contextualSpacing/>
        <w:jc w:val="both"/>
        <w:rPr>
          <w:rFonts w:ascii="Times New Roman" w:hAnsi="Times New Roman"/>
          <w:sz w:val="26"/>
        </w:rPr>
      </w:pPr>
      <w:r>
        <w:t xml:space="preserve"> </w:t>
      </w:r>
      <w:r>
        <w:rPr>
          <w:rFonts w:ascii="Times New Roman" w:hAnsi="Times New Roman"/>
          <w:sz w:val="26"/>
        </w:rPr>
        <w:t>единой учетной политики).</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ind w:left="-426" w:firstLine="426"/>
        <w:contextualSpacing/>
        <w:jc w:val="center"/>
        <w:rPr>
          <w:rFonts w:ascii="Times New Roman" w:hAnsi="Times New Roman"/>
          <w:b/>
          <w:sz w:val="26"/>
        </w:rPr>
      </w:pPr>
      <w:r>
        <w:rPr>
          <w:rFonts w:ascii="Times New Roman" w:hAnsi="Times New Roman"/>
          <w:b/>
          <w:sz w:val="26"/>
        </w:rPr>
        <w:t>16. Порядок формирования информации, раскрываемой в бухгалтерской отчетности</w:t>
      </w:r>
    </w:p>
    <w:p w:rsidR="005109DA" w:rsidRDefault="005109DA">
      <w:pPr>
        <w:pStyle w:val="ConsPlusNormal"/>
        <w:spacing w:before="220"/>
        <w:ind w:left="-426" w:firstLine="426"/>
        <w:contextualSpacing/>
        <w:jc w:val="center"/>
        <w:rPr>
          <w:rFonts w:ascii="Times New Roman" w:hAnsi="Times New Roman"/>
          <w:b/>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16.1. Бухгалтерская (бюджетная) отчетность субъекта централизованного учета составляется централизованной бухгалтерией на основании аналитического и синтетического учета, главной книги и других регистров бухгалтерского учета.</w:t>
      </w:r>
    </w:p>
    <w:p w:rsidR="005109DA" w:rsidRDefault="00000000">
      <w:pPr>
        <w:spacing w:after="0"/>
        <w:ind w:left="-426" w:firstLine="426"/>
        <w:jc w:val="both"/>
        <w:rPr>
          <w:rFonts w:ascii="Times New Roman" w:hAnsi="Times New Roman"/>
          <w:sz w:val="26"/>
        </w:rPr>
      </w:pPr>
      <w:r>
        <w:rPr>
          <w:rFonts w:ascii="Times New Roman" w:hAnsi="Times New Roman"/>
          <w:sz w:val="26"/>
        </w:rPr>
        <w:t>Перед составлением годовой отчетности обязательно проводится сверка оборотов               и остатков  по счетам бухгалтерского учета, инвентаризация активов и обязательств,                       в том числе с данными госреестров и информационных систем (в частности, ЕГРЮЛ, ЕГРН).</w:t>
      </w:r>
    </w:p>
    <w:p w:rsidR="005109DA" w:rsidRDefault="00000000">
      <w:pPr>
        <w:spacing w:after="0"/>
        <w:ind w:left="-426" w:firstLine="426"/>
        <w:jc w:val="both"/>
        <w:rPr>
          <w:rFonts w:ascii="Times New Roman" w:hAnsi="Times New Roman"/>
          <w:sz w:val="26"/>
        </w:rPr>
      </w:pPr>
      <w:r>
        <w:rPr>
          <w:rFonts w:ascii="Times New Roman" w:hAnsi="Times New Roman"/>
          <w:sz w:val="26"/>
        </w:rPr>
        <w:t>Показатели годовой отчетности подтверждаются данными инвентаризации имущества и финансовых обязательств.</w:t>
      </w:r>
    </w:p>
    <w:p w:rsidR="005109DA" w:rsidRDefault="00000000">
      <w:pPr>
        <w:pStyle w:val="ConsPlusNormal"/>
        <w:ind w:left="-426" w:firstLine="426"/>
        <w:contextualSpacing/>
        <w:jc w:val="both"/>
        <w:rPr>
          <w:rFonts w:ascii="Times New Roman" w:hAnsi="Times New Roman"/>
          <w:i/>
          <w:sz w:val="26"/>
        </w:rPr>
      </w:pPr>
      <w:r>
        <w:rPr>
          <w:rFonts w:ascii="Times New Roman" w:hAnsi="Times New Roman"/>
          <w:i/>
          <w:sz w:val="26"/>
        </w:rPr>
        <w:t>(Основание: Инструкция от 25.03.2011 №33н, от 28.12.2010 №191н)</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16.2. Бухгалтерская (бюджетная) отчетность субъекта централизованного учета, составленная централизованной бухгалтерией, подписывается руководителем субъекта централизованного учета, передавшего полномочия по ведению учета и составлению бюджетной отчетности, либо лицом, им уполномоченным, а также главным бухгалтером централизованной бухгалтерии, на которого возложена обязанность по ведению бухгалтерского учета и составлению отчетности.</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п.9 СГС "Учетная политика")</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spacing w:after="0"/>
        <w:ind w:left="-426" w:firstLine="426"/>
        <w:jc w:val="both"/>
        <w:rPr>
          <w:rFonts w:ascii="Times New Roman" w:hAnsi="Times New Roman"/>
          <w:sz w:val="26"/>
        </w:rPr>
      </w:pPr>
      <w:r>
        <w:rPr>
          <w:rFonts w:ascii="Times New Roman" w:hAnsi="Times New Roman"/>
          <w:sz w:val="26"/>
        </w:rPr>
        <w:t>16.3. Централизованная бухгалтерия формирует консолидированную бухгалтерскую отчетность в отношении группы субъектов отчетности, в которой показатели их активов, обязательств, доходов, расходов, движения денежных средств  и иных объектов бухгалтерского учета представлены как соответствующие показатели одного субъекта отчетности по соответствующему периметру в АИС БП-ЭК «Автоматизированная информационная система бюджетного процесса – Электронное казначейство» (далее АИС БП-ЭК), а также в программном комплексе «Свод отчетов ПРОФ».</w:t>
      </w:r>
    </w:p>
    <w:p w:rsidR="005109DA" w:rsidRDefault="00000000">
      <w:pPr>
        <w:spacing w:after="0"/>
        <w:ind w:left="-426" w:firstLine="426"/>
        <w:jc w:val="both"/>
        <w:rPr>
          <w:rFonts w:ascii="Times New Roman" w:hAnsi="Times New Roman"/>
          <w:i/>
          <w:sz w:val="26"/>
        </w:rPr>
      </w:pPr>
      <w:r>
        <w:rPr>
          <w:rFonts w:ascii="Times New Roman" w:hAnsi="Times New Roman"/>
          <w:i/>
          <w:sz w:val="26"/>
        </w:rPr>
        <w:t>(Основание: п.13, п.22 СГС "Консолидированная бухгалтерская (финансовая) отчетность")</w:t>
      </w:r>
    </w:p>
    <w:p w:rsidR="005109DA" w:rsidRDefault="00000000">
      <w:pPr>
        <w:pStyle w:val="ConsPlusNormal"/>
        <w:spacing w:before="220"/>
        <w:ind w:left="-426" w:firstLine="426"/>
        <w:contextualSpacing/>
        <w:jc w:val="both"/>
        <w:rPr>
          <w:rFonts w:ascii="Times New Roman" w:hAnsi="Times New Roman"/>
        </w:rPr>
      </w:pPr>
      <w:r>
        <w:rPr>
          <w:rFonts w:ascii="Times New Roman" w:hAnsi="Times New Roman"/>
          <w:sz w:val="26"/>
        </w:rPr>
        <w:t>16.4. К отчетности за отчетный период в пояснениях раскрывается:</w:t>
      </w:r>
    </w:p>
    <w:p w:rsidR="005109DA" w:rsidRDefault="00000000">
      <w:pPr>
        <w:pStyle w:val="a3"/>
        <w:numPr>
          <w:ilvl w:val="0"/>
          <w:numId w:val="51"/>
        </w:numPr>
        <w:spacing w:after="0"/>
        <w:jc w:val="both"/>
        <w:rPr>
          <w:rFonts w:ascii="Times New Roman" w:hAnsi="Times New Roman"/>
          <w:sz w:val="26"/>
        </w:rPr>
      </w:pPr>
      <w:r>
        <w:rPr>
          <w:rFonts w:ascii="Times New Roman" w:hAnsi="Times New Roman"/>
          <w:sz w:val="26"/>
        </w:rPr>
        <w:t>уточненная информация об условиях хозяйственной жизни субъекта централизованного учета, существовавших на отчетную дату, если такая информация подлежит раскрытию в отчетности;</w:t>
      </w:r>
    </w:p>
    <w:p w:rsidR="005109DA" w:rsidRDefault="00000000">
      <w:pPr>
        <w:pStyle w:val="a3"/>
        <w:numPr>
          <w:ilvl w:val="0"/>
          <w:numId w:val="51"/>
        </w:numPr>
        <w:spacing w:after="0"/>
        <w:jc w:val="both"/>
        <w:rPr>
          <w:rFonts w:ascii="Times New Roman" w:hAnsi="Times New Roman"/>
          <w:sz w:val="26"/>
        </w:rPr>
      </w:pPr>
      <w:r>
        <w:rPr>
          <w:rFonts w:ascii="Times New Roman" w:hAnsi="Times New Roman"/>
          <w:sz w:val="26"/>
        </w:rPr>
        <w:t>информация о событиях после отчетной даты, свидетельствующая                               о возникших после отчетной даты условиях хозяйственной жизни субъекта централизованного учета.</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16.5.</w:t>
      </w:r>
      <w:r>
        <w:rPr>
          <w:sz w:val="26"/>
        </w:rPr>
        <w:t xml:space="preserve"> </w:t>
      </w:r>
      <w:r>
        <w:rPr>
          <w:rFonts w:ascii="Times New Roman" w:hAnsi="Times New Roman"/>
          <w:sz w:val="26"/>
        </w:rPr>
        <w:t>Хранение бухгалтерской (бюджетной) отчетности субъекта централизованного учета организуется руководителем субъекта централизованного учета.</w:t>
      </w:r>
    </w:p>
    <w:p w:rsidR="005109DA" w:rsidRDefault="005109DA">
      <w:pPr>
        <w:pStyle w:val="ConsPlusNormal"/>
        <w:spacing w:before="220" w:line="276" w:lineRule="auto"/>
        <w:ind w:left="-426" w:firstLine="426"/>
        <w:contextualSpacing/>
        <w:jc w:val="both"/>
        <w:rPr>
          <w:rFonts w:ascii="Times New Roman" w:hAnsi="Times New Roman"/>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 xml:space="preserve">Консолидированная </w:t>
      </w:r>
      <w:r>
        <w:rPr>
          <w:sz w:val="26"/>
        </w:rPr>
        <w:t>б</w:t>
      </w:r>
      <w:r>
        <w:rPr>
          <w:rFonts w:ascii="Times New Roman" w:hAnsi="Times New Roman"/>
          <w:sz w:val="26"/>
        </w:rPr>
        <w:t xml:space="preserve">ухгалтерская (бюджетная) отчетность хранится в виде электронного документа в информационной системе АИС БП-ЭК, а также в программном комплексе «Свод отчетов ПРОФ». </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Бумажная копия комплекта консолидированной отчетности хранится у главного бухгалтера централизованной бухгалтерии.</w:t>
      </w:r>
    </w:p>
    <w:p w:rsidR="005109DA" w:rsidRDefault="00000000">
      <w:pPr>
        <w:pStyle w:val="ConsPlusNormal"/>
        <w:spacing w:before="220"/>
        <w:ind w:left="-426" w:firstLine="426"/>
        <w:contextualSpacing/>
        <w:jc w:val="both"/>
        <w:rPr>
          <w:rFonts w:ascii="Times New Roman" w:hAnsi="Times New Roman"/>
          <w:i/>
          <w:sz w:val="26"/>
        </w:rPr>
      </w:pPr>
      <w:r>
        <w:rPr>
          <w:rFonts w:ascii="Times New Roman" w:hAnsi="Times New Roman"/>
          <w:i/>
          <w:sz w:val="26"/>
        </w:rPr>
        <w:t xml:space="preserve"> (Основание: ч.7.1 ст.13 Закона от 06.12.2011 №402-ФЗ, п.13 СГС «Концептуальные основы бухучета и отчетности», п.14 Инструкции № 157н)</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ind w:left="-426" w:firstLine="426"/>
        <w:contextualSpacing/>
        <w:jc w:val="center"/>
        <w:rPr>
          <w:rFonts w:ascii="Times New Roman" w:hAnsi="Times New Roman"/>
          <w:b/>
          <w:sz w:val="26"/>
        </w:rPr>
      </w:pPr>
      <w:r>
        <w:rPr>
          <w:rFonts w:ascii="Times New Roman" w:hAnsi="Times New Roman"/>
          <w:b/>
          <w:sz w:val="26"/>
        </w:rPr>
        <w:t xml:space="preserve">17. Порядок передачи документов </w:t>
      </w:r>
    </w:p>
    <w:p w:rsidR="005109DA" w:rsidRDefault="00000000">
      <w:pPr>
        <w:pStyle w:val="ConsPlusNormal"/>
        <w:spacing w:before="220"/>
        <w:ind w:left="-426" w:firstLine="426"/>
        <w:contextualSpacing/>
        <w:jc w:val="center"/>
        <w:rPr>
          <w:rFonts w:ascii="Times New Roman" w:hAnsi="Times New Roman"/>
          <w:b/>
          <w:sz w:val="26"/>
        </w:rPr>
      </w:pPr>
      <w:r>
        <w:rPr>
          <w:rFonts w:ascii="Times New Roman" w:hAnsi="Times New Roman"/>
          <w:b/>
          <w:sz w:val="26"/>
        </w:rPr>
        <w:t>при смене руководителя и главного бухгалтера</w:t>
      </w:r>
    </w:p>
    <w:p w:rsidR="005109DA" w:rsidRDefault="005109DA">
      <w:pPr>
        <w:pStyle w:val="ConsPlusNormal"/>
        <w:spacing w:before="220"/>
        <w:ind w:left="-426" w:firstLine="426"/>
        <w:contextualSpacing/>
        <w:jc w:val="both"/>
        <w:rPr>
          <w:rFonts w:ascii="Times New Roman" w:hAnsi="Times New Roman"/>
          <w:i/>
          <w:sz w:val="26"/>
        </w:rPr>
      </w:pP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17.1.  Порядок передачи документов, дел, печатей и штампов при смене руководителя приведен в Приложении № 22 единой учетной политики.</w:t>
      </w:r>
    </w:p>
    <w:p w:rsidR="005109DA" w:rsidRDefault="00000000">
      <w:pPr>
        <w:pStyle w:val="ConsPlusNormal"/>
        <w:spacing w:before="220" w:line="276" w:lineRule="auto"/>
        <w:ind w:left="-426" w:firstLine="426"/>
        <w:contextualSpacing/>
        <w:jc w:val="both"/>
        <w:rPr>
          <w:rFonts w:ascii="Times New Roman" w:hAnsi="Times New Roman"/>
          <w:i/>
          <w:sz w:val="26"/>
        </w:rPr>
      </w:pPr>
      <w:r>
        <w:rPr>
          <w:rFonts w:ascii="Times New Roman" w:hAnsi="Times New Roman"/>
          <w:i/>
          <w:sz w:val="26"/>
        </w:rPr>
        <w:t>(Основание: п. 14 Инструкции № 157н)</w:t>
      </w: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5109DA">
      <w:pPr>
        <w:pStyle w:val="ConsPlusNormal"/>
        <w:spacing w:before="220" w:line="276" w:lineRule="auto"/>
        <w:ind w:left="-426" w:firstLine="426"/>
        <w:contextualSpacing/>
        <w:jc w:val="both"/>
        <w:rPr>
          <w:rFonts w:ascii="Times New Roman" w:hAnsi="Times New Roman"/>
          <w:i/>
          <w:sz w:val="26"/>
        </w:rPr>
      </w:pPr>
    </w:p>
    <w:p w:rsidR="005109DA" w:rsidRDefault="00000000">
      <w:pPr>
        <w:pStyle w:val="ConsPlusNormal"/>
        <w:ind w:left="-426" w:firstLine="426"/>
        <w:contextualSpacing/>
        <w:jc w:val="center"/>
        <w:rPr>
          <w:rFonts w:ascii="Times New Roman" w:hAnsi="Times New Roman"/>
          <w:b/>
          <w:sz w:val="26"/>
        </w:rPr>
      </w:pPr>
      <w:r>
        <w:rPr>
          <w:rFonts w:ascii="Times New Roman" w:hAnsi="Times New Roman"/>
          <w:b/>
          <w:sz w:val="26"/>
        </w:rPr>
        <w:t xml:space="preserve">18.  Приложение </w:t>
      </w:r>
    </w:p>
    <w:p w:rsidR="005109DA" w:rsidRDefault="00000000">
      <w:pPr>
        <w:pStyle w:val="ConsPlusNormal"/>
        <w:ind w:left="-426" w:firstLine="426"/>
        <w:contextualSpacing/>
        <w:jc w:val="center"/>
        <w:rPr>
          <w:rFonts w:ascii="Times New Roman" w:hAnsi="Times New Roman"/>
          <w:sz w:val="26"/>
        </w:rPr>
      </w:pPr>
      <w:r>
        <w:rPr>
          <w:rFonts w:ascii="Times New Roman" w:hAnsi="Times New Roman"/>
          <w:b/>
          <w:sz w:val="26"/>
        </w:rPr>
        <w:t>единой учетной политики</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18.1. Рабочий план счетов (Приложение №1).</w:t>
      </w:r>
    </w:p>
    <w:p w:rsidR="005109DA" w:rsidRDefault="005109DA">
      <w:pPr>
        <w:widowControl w:val="0"/>
        <w:spacing w:before="220" w:after="0" w:line="240" w:lineRule="auto"/>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18.2. Порядок и сроки передачи первичных документов, а также технология обработки учетной информации (Приложение № 2).</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18.3. Положение о комиссии по поступлению и выбытию активов                      (Приложение №3).</w:t>
      </w:r>
    </w:p>
    <w:p w:rsidR="005109DA" w:rsidRDefault="005109DA">
      <w:pPr>
        <w:widowControl w:val="0"/>
        <w:spacing w:before="220" w:after="0"/>
        <w:ind w:left="-426" w:firstLine="426"/>
        <w:contextualSpacing/>
        <w:jc w:val="both"/>
        <w:rPr>
          <w:rFonts w:ascii="Times New Roman" w:hAnsi="Times New Roman"/>
          <w:i/>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18.4. Порядок составления первичных документов и исправление в них ошибок. </w:t>
      </w:r>
    </w:p>
    <w:p w:rsidR="005109DA" w:rsidRDefault="00000000">
      <w:pPr>
        <w:widowControl w:val="0"/>
        <w:spacing w:before="220" w:after="0"/>
        <w:ind w:left="-426"/>
        <w:contextualSpacing/>
        <w:jc w:val="both"/>
        <w:rPr>
          <w:rFonts w:ascii="Times New Roman" w:hAnsi="Times New Roman"/>
          <w:sz w:val="26"/>
        </w:rPr>
      </w:pPr>
      <w:r>
        <w:rPr>
          <w:rFonts w:ascii="Times New Roman" w:hAnsi="Times New Roman"/>
          <w:sz w:val="26"/>
        </w:rPr>
        <w:t>Формы первичных учетных документов (Приложение №4).</w:t>
      </w:r>
    </w:p>
    <w:p w:rsidR="005109DA" w:rsidRDefault="005109DA">
      <w:pPr>
        <w:widowControl w:val="0"/>
        <w:spacing w:before="220" w:after="0" w:line="240" w:lineRule="auto"/>
        <w:ind w:left="-426" w:firstLine="426"/>
        <w:contextualSpacing/>
        <w:jc w:val="both"/>
        <w:rPr>
          <w:rFonts w:ascii="Times New Roman" w:hAnsi="Times New Roman"/>
          <w:i/>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18.5. Порядок составления и оформления регистров бухгалтерского учета. Исправление в них ошибок </w:t>
      </w:r>
      <w:bookmarkStart w:id="25" w:name="_Hlk122012808"/>
      <w:r>
        <w:rPr>
          <w:rFonts w:ascii="Times New Roman" w:hAnsi="Times New Roman"/>
          <w:sz w:val="26"/>
        </w:rPr>
        <w:t>(Приложение № 5).</w:t>
      </w:r>
      <w:bookmarkEnd w:id="25"/>
    </w:p>
    <w:p w:rsidR="005109DA" w:rsidRDefault="005109DA">
      <w:pPr>
        <w:widowControl w:val="0"/>
        <w:spacing w:before="220" w:after="0"/>
        <w:ind w:left="-426" w:firstLine="426"/>
        <w:contextualSpacing/>
        <w:jc w:val="both"/>
        <w:rPr>
          <w:rFonts w:ascii="Times New Roman" w:hAnsi="Times New Roman"/>
          <w:i/>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18.6. Перечень нефинансовых активов, включаемый в состав основных средств                  и материальных запасов (Приложение № 6).</w:t>
      </w:r>
    </w:p>
    <w:p w:rsidR="005109DA" w:rsidRDefault="005109DA">
      <w:pPr>
        <w:widowControl w:val="0"/>
        <w:spacing w:before="220" w:after="0" w:line="240" w:lineRule="auto"/>
        <w:ind w:left="-426" w:firstLine="426"/>
        <w:contextualSpacing/>
        <w:jc w:val="both"/>
        <w:rPr>
          <w:rFonts w:ascii="Times New Roman" w:hAnsi="Times New Roman"/>
          <w:i/>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18.7. Порядок оформления документов о вручении ценных подарков, сувениров, призов, кубков (иных материальных ценностей) приобретаемых для дарения и их учета</w:t>
      </w:r>
    </w:p>
    <w:p w:rsidR="005109DA" w:rsidRDefault="00000000">
      <w:pPr>
        <w:widowControl w:val="0"/>
        <w:spacing w:before="220" w:after="0"/>
        <w:ind w:left="-426"/>
        <w:contextualSpacing/>
        <w:jc w:val="both"/>
        <w:rPr>
          <w:rFonts w:ascii="Times New Roman" w:hAnsi="Times New Roman"/>
          <w:sz w:val="26"/>
        </w:rPr>
      </w:pPr>
      <w:r>
        <w:rPr>
          <w:rFonts w:ascii="Times New Roman" w:hAnsi="Times New Roman"/>
          <w:sz w:val="26"/>
        </w:rPr>
        <w:t>(Приложение № 7).</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18.8. Порядок приемки, хранения, выдачи и списания бланков строгой отчетности</w:t>
      </w:r>
    </w:p>
    <w:p w:rsidR="005109DA" w:rsidRDefault="00000000">
      <w:pPr>
        <w:widowControl w:val="0"/>
        <w:spacing w:before="220" w:after="0"/>
        <w:ind w:left="-426"/>
        <w:contextualSpacing/>
        <w:jc w:val="both"/>
        <w:rPr>
          <w:rFonts w:ascii="Times New Roman" w:hAnsi="Times New Roman"/>
          <w:sz w:val="26"/>
        </w:rPr>
      </w:pPr>
      <w:r>
        <w:rPr>
          <w:rFonts w:ascii="Times New Roman" w:hAnsi="Times New Roman"/>
          <w:sz w:val="26"/>
        </w:rPr>
        <w:t>(Приложение №8).</w:t>
      </w:r>
    </w:p>
    <w:p w:rsidR="005109DA" w:rsidRDefault="005109DA">
      <w:pPr>
        <w:widowControl w:val="0"/>
        <w:spacing w:before="220" w:after="0" w:line="240" w:lineRule="auto"/>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 xml:space="preserve">18.9. Порядок выдачи под отчет (возмещение) денежных средств, денежных документов, составления и представления отчетов подотчетными лицами </w:t>
      </w:r>
    </w:p>
    <w:p w:rsidR="005109DA" w:rsidRDefault="00000000">
      <w:pPr>
        <w:widowControl w:val="0"/>
        <w:spacing w:before="220" w:after="0"/>
        <w:ind w:left="-426"/>
        <w:contextualSpacing/>
        <w:jc w:val="both"/>
        <w:rPr>
          <w:rFonts w:ascii="Times New Roman" w:hAnsi="Times New Roman"/>
          <w:i/>
          <w:sz w:val="26"/>
        </w:rPr>
      </w:pPr>
      <w:r>
        <w:rPr>
          <w:rFonts w:ascii="Times New Roman" w:hAnsi="Times New Roman"/>
          <w:sz w:val="26"/>
        </w:rPr>
        <w:t>(Приложение №9).</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line="240" w:lineRule="auto"/>
        <w:ind w:left="-426" w:firstLine="426"/>
        <w:contextualSpacing/>
        <w:jc w:val="both"/>
        <w:rPr>
          <w:rFonts w:ascii="Times New Roman" w:hAnsi="Times New Roman"/>
          <w:i/>
          <w:sz w:val="26"/>
        </w:rPr>
      </w:pPr>
      <w:r>
        <w:rPr>
          <w:rFonts w:ascii="Times New Roman" w:hAnsi="Times New Roman"/>
          <w:sz w:val="26"/>
        </w:rPr>
        <w:t>18.10. Положение об инвентаризации нефинансовых и финансовых активов, обязательств (Приложение № 10).</w:t>
      </w:r>
    </w:p>
    <w:p w:rsidR="005109DA" w:rsidRDefault="005109DA">
      <w:pPr>
        <w:widowControl w:val="0"/>
        <w:spacing w:before="220" w:after="0" w:line="240" w:lineRule="auto"/>
        <w:ind w:left="-426" w:firstLine="426"/>
        <w:contextualSpacing/>
        <w:jc w:val="both"/>
        <w:rPr>
          <w:rFonts w:ascii="Times New Roman" w:hAnsi="Times New Roman"/>
          <w:i/>
          <w:sz w:val="26"/>
        </w:rPr>
      </w:pPr>
    </w:p>
    <w:p w:rsidR="005109DA" w:rsidRDefault="00000000">
      <w:pPr>
        <w:widowControl w:val="0"/>
        <w:spacing w:before="220" w:after="0" w:line="240" w:lineRule="auto"/>
        <w:ind w:left="-426" w:firstLine="426"/>
        <w:contextualSpacing/>
        <w:jc w:val="both"/>
        <w:rPr>
          <w:rFonts w:ascii="Times New Roman" w:hAnsi="Times New Roman"/>
          <w:i/>
          <w:sz w:val="26"/>
        </w:rPr>
      </w:pPr>
      <w:r>
        <w:rPr>
          <w:rFonts w:ascii="Times New Roman" w:hAnsi="Times New Roman"/>
          <w:sz w:val="26"/>
        </w:rPr>
        <w:t>18.11. Положение об инвентаризационной комиссии (Приложение № 11).</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18.12. Положение об организации служебных командировок работников субъекта централизованного учета на территории России и за ее пределами (Приложение №12).</w:t>
      </w:r>
    </w:p>
    <w:p w:rsidR="005109DA" w:rsidRDefault="005109DA">
      <w:pPr>
        <w:widowControl w:val="0"/>
        <w:spacing w:before="220" w:after="0"/>
        <w:ind w:left="-426" w:firstLine="426"/>
        <w:contextualSpacing/>
        <w:jc w:val="both"/>
        <w:rPr>
          <w:rFonts w:ascii="Times New Roman" w:hAnsi="Times New Roman"/>
          <w:i/>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18.13. Порядок расчетов по оплате труда и начислениям на выплаты по оплате труда, прочим выплатам, расчеты по удержаниям из выплат по оплате труда, расчеты с депонентами (Приложение №13).</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18.14.</w:t>
      </w:r>
      <w:r>
        <w:t xml:space="preserve"> </w:t>
      </w:r>
      <w:r>
        <w:rPr>
          <w:rFonts w:ascii="Times New Roman" w:hAnsi="Times New Roman"/>
          <w:sz w:val="26"/>
        </w:rPr>
        <w:t>Положение о признании дебиторской задолженности сомнительной или безнадежной к взысканию (Приложение №14).</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18.15.</w:t>
      </w:r>
      <w:r>
        <w:t xml:space="preserve"> </w:t>
      </w:r>
      <w:r>
        <w:rPr>
          <w:rFonts w:ascii="Times New Roman" w:hAnsi="Times New Roman"/>
          <w:sz w:val="26"/>
        </w:rPr>
        <w:t>Положение о признании кредиторской задолженности невостребованной (Приложение № 15).</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18.16.</w:t>
      </w:r>
      <w:r>
        <w:t xml:space="preserve"> </w:t>
      </w:r>
      <w:r>
        <w:rPr>
          <w:rFonts w:ascii="Times New Roman" w:hAnsi="Times New Roman"/>
          <w:sz w:val="26"/>
        </w:rPr>
        <w:t>Положение  о применении профессионального суждения бухгалтера (Приложение №16)</w:t>
      </w:r>
    </w:p>
    <w:p w:rsidR="005109DA" w:rsidRDefault="00000000">
      <w:pPr>
        <w:pStyle w:val="ConsPlusNormal"/>
        <w:spacing w:before="220" w:line="276" w:lineRule="auto"/>
        <w:ind w:left="-426" w:firstLine="426"/>
        <w:contextualSpacing/>
        <w:jc w:val="both"/>
        <w:rPr>
          <w:rFonts w:ascii="Times New Roman" w:hAnsi="Times New Roman"/>
          <w:sz w:val="26"/>
        </w:rPr>
      </w:pPr>
      <w:r>
        <w:rPr>
          <w:rFonts w:ascii="Times New Roman" w:hAnsi="Times New Roman"/>
          <w:sz w:val="26"/>
        </w:rPr>
        <w:t>18.17.</w:t>
      </w:r>
      <w:r>
        <w:t xml:space="preserve"> </w:t>
      </w:r>
      <w:r>
        <w:rPr>
          <w:rFonts w:ascii="Times New Roman" w:hAnsi="Times New Roman"/>
          <w:sz w:val="26"/>
        </w:rPr>
        <w:t>Порядок отражения в учете принятых и денежных обязательств (Приложение №17).</w:t>
      </w: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18.18.</w:t>
      </w:r>
      <w:r>
        <w:t xml:space="preserve"> </w:t>
      </w:r>
      <w:r>
        <w:rPr>
          <w:rFonts w:ascii="Times New Roman" w:hAnsi="Times New Roman"/>
          <w:sz w:val="26"/>
        </w:rPr>
        <w:t>Порядок формирования и использования резервов предстоящих расходов</w:t>
      </w:r>
    </w:p>
    <w:p w:rsidR="005109DA" w:rsidRDefault="00000000">
      <w:pPr>
        <w:widowControl w:val="0"/>
        <w:spacing w:before="220" w:after="0"/>
        <w:ind w:left="-426"/>
        <w:contextualSpacing/>
        <w:jc w:val="both"/>
        <w:rPr>
          <w:rFonts w:ascii="Times New Roman" w:hAnsi="Times New Roman"/>
          <w:sz w:val="26"/>
        </w:rPr>
      </w:pPr>
      <w:r>
        <w:rPr>
          <w:rFonts w:ascii="Times New Roman" w:hAnsi="Times New Roman"/>
          <w:sz w:val="26"/>
        </w:rPr>
        <w:t>(Приложение №18).</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18.19.</w:t>
      </w:r>
      <w:r>
        <w:t xml:space="preserve"> </w:t>
      </w:r>
      <w:r>
        <w:rPr>
          <w:rFonts w:ascii="Times New Roman" w:hAnsi="Times New Roman"/>
          <w:sz w:val="26"/>
        </w:rPr>
        <w:t>Порядок признания в бухгалтерском учете и раскрытия в бухгалтерской (бюджетной) отчетности событий после отчетной даты (Приложение №19).</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18.20.</w:t>
      </w:r>
      <w:r>
        <w:t xml:space="preserve"> </w:t>
      </w:r>
      <w:r>
        <w:rPr>
          <w:rFonts w:ascii="Times New Roman" w:hAnsi="Times New Roman"/>
          <w:sz w:val="26"/>
        </w:rPr>
        <w:t>Положение о внутреннем финансовом контроле (Приложение №20).</w:t>
      </w:r>
    </w:p>
    <w:p w:rsidR="005109DA" w:rsidRDefault="005109DA">
      <w:pPr>
        <w:widowControl w:val="0"/>
        <w:spacing w:before="220" w:after="0"/>
        <w:ind w:left="-426" w:firstLine="426"/>
        <w:contextualSpacing/>
        <w:jc w:val="both"/>
        <w:rPr>
          <w:rFonts w:ascii="Times New Roman" w:hAnsi="Times New Roman"/>
          <w:sz w:val="26"/>
        </w:rPr>
      </w:pPr>
    </w:p>
    <w:p w:rsidR="005109DA" w:rsidRDefault="00000000">
      <w:pPr>
        <w:widowControl w:val="0"/>
        <w:spacing w:before="220" w:after="0"/>
        <w:ind w:left="-426" w:firstLine="426"/>
        <w:contextualSpacing/>
        <w:jc w:val="both"/>
        <w:rPr>
          <w:rFonts w:ascii="Times New Roman" w:hAnsi="Times New Roman"/>
          <w:sz w:val="26"/>
        </w:rPr>
      </w:pPr>
      <w:r>
        <w:rPr>
          <w:rFonts w:ascii="Times New Roman" w:hAnsi="Times New Roman"/>
          <w:sz w:val="26"/>
        </w:rPr>
        <w:t>18.21. Порядок передачи документов бухгалтерского учета и дел при смене руководителя (Приложение №21).</w:t>
      </w:r>
    </w:p>
    <w:p w:rsidR="005109DA" w:rsidRDefault="005109DA">
      <w:pPr>
        <w:widowControl w:val="0"/>
        <w:spacing w:before="220" w:after="0"/>
        <w:ind w:left="-426" w:firstLine="426"/>
        <w:contextualSpacing/>
        <w:jc w:val="both"/>
        <w:rPr>
          <w:rFonts w:ascii="Times New Roman" w:hAnsi="Times New Roman"/>
          <w:sz w:val="26"/>
        </w:rPr>
      </w:pPr>
    </w:p>
    <w:p w:rsidR="005109DA" w:rsidRDefault="005109DA">
      <w:pPr>
        <w:widowControl w:val="0"/>
        <w:spacing w:before="220" w:after="0"/>
        <w:ind w:left="-426" w:firstLine="426"/>
        <w:contextualSpacing/>
        <w:jc w:val="both"/>
        <w:rPr>
          <w:rFonts w:ascii="Times New Roman" w:hAnsi="Times New Roman"/>
          <w:sz w:val="26"/>
        </w:rPr>
      </w:pPr>
    </w:p>
    <w:p w:rsidR="005109DA" w:rsidRDefault="005109DA">
      <w:pPr>
        <w:widowControl w:val="0"/>
        <w:spacing w:before="220" w:after="0"/>
        <w:ind w:left="-426" w:firstLine="426"/>
        <w:contextualSpacing/>
        <w:jc w:val="both"/>
        <w:rPr>
          <w:rFonts w:ascii="Times New Roman" w:hAnsi="Times New Roman"/>
          <w:sz w:val="26"/>
        </w:rPr>
      </w:pPr>
    </w:p>
    <w:p w:rsidR="005109DA" w:rsidRDefault="005109DA">
      <w:pPr>
        <w:widowControl w:val="0"/>
        <w:spacing w:before="220" w:after="0"/>
        <w:ind w:left="-426" w:firstLine="426"/>
        <w:contextualSpacing/>
        <w:jc w:val="both"/>
        <w:rPr>
          <w:rFonts w:ascii="Times New Roman" w:hAnsi="Times New Roman"/>
          <w:sz w:val="26"/>
        </w:rPr>
      </w:pPr>
    </w:p>
    <w:p w:rsidR="005109DA" w:rsidRDefault="005109DA">
      <w:pPr>
        <w:widowControl w:val="0"/>
        <w:spacing w:before="220" w:after="0"/>
        <w:ind w:left="-426" w:firstLine="426"/>
        <w:contextualSpacing/>
        <w:jc w:val="both"/>
        <w:rPr>
          <w:rFonts w:ascii="Times New Roman" w:hAnsi="Times New Roman"/>
          <w:sz w:val="26"/>
        </w:rPr>
      </w:pPr>
    </w:p>
    <w:p w:rsidR="005109DA" w:rsidRDefault="005109DA">
      <w:pPr>
        <w:widowControl w:val="0"/>
        <w:spacing w:before="220" w:after="0"/>
        <w:ind w:left="-426" w:firstLine="426"/>
        <w:contextualSpacing/>
        <w:jc w:val="both"/>
        <w:rPr>
          <w:rFonts w:ascii="Times New Roman" w:hAnsi="Times New Roman"/>
          <w:sz w:val="26"/>
        </w:rPr>
      </w:pPr>
    </w:p>
    <w:p w:rsidR="005109DA" w:rsidRDefault="005109DA">
      <w:pPr>
        <w:pStyle w:val="ConsPlusNormal"/>
        <w:spacing w:before="220" w:line="276" w:lineRule="auto"/>
        <w:ind w:left="-426" w:firstLine="426"/>
        <w:contextualSpacing/>
        <w:jc w:val="both"/>
        <w:rPr>
          <w:rFonts w:ascii="Times New Roman" w:hAnsi="Times New Roman"/>
          <w:sz w:val="26"/>
        </w:rPr>
      </w:pPr>
    </w:p>
    <w:sectPr w:rsidR="005109DA">
      <w:pgSz w:w="11905" w:h="16838"/>
      <w:pgMar w:top="709" w:right="850" w:bottom="426"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12"/>
    <w:multiLevelType w:val="multilevel"/>
    <w:tmpl w:val="4D20293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4776DB0"/>
    <w:multiLevelType w:val="multilevel"/>
    <w:tmpl w:val="86FCFA04"/>
    <w:lvl w:ilvl="0">
      <w:start w:val="1"/>
      <w:numFmt w:val="bullet"/>
      <w:lvlText w:val=""/>
      <w:lvlJc w:val="left"/>
      <w:pPr>
        <w:ind w:left="294" w:hanging="360"/>
      </w:pPr>
      <w:rPr>
        <w:rFonts w:ascii="Symbol" w:hAnsi="Symbol"/>
        <w:color w:val="000000"/>
      </w:rPr>
    </w:lvl>
    <w:lvl w:ilvl="1">
      <w:start w:val="1"/>
      <w:numFmt w:val="bullet"/>
      <w:lvlText w:val="o"/>
      <w:lvlJc w:val="left"/>
      <w:pPr>
        <w:ind w:left="1014" w:hanging="360"/>
      </w:pPr>
      <w:rPr>
        <w:rFonts w:ascii="Courier New" w:hAnsi="Courier New"/>
      </w:rPr>
    </w:lvl>
    <w:lvl w:ilvl="2">
      <w:start w:val="1"/>
      <w:numFmt w:val="bullet"/>
      <w:lvlText w:val=""/>
      <w:lvlJc w:val="left"/>
      <w:pPr>
        <w:ind w:left="1734" w:hanging="360"/>
      </w:pPr>
      <w:rPr>
        <w:rFonts w:ascii="Wingdings" w:hAnsi="Wingdings"/>
      </w:rPr>
    </w:lvl>
    <w:lvl w:ilvl="3">
      <w:start w:val="1"/>
      <w:numFmt w:val="bullet"/>
      <w:lvlText w:val=""/>
      <w:lvlJc w:val="left"/>
      <w:pPr>
        <w:ind w:left="2454" w:hanging="360"/>
      </w:pPr>
      <w:rPr>
        <w:rFonts w:ascii="Symbol" w:hAnsi="Symbol"/>
      </w:rPr>
    </w:lvl>
    <w:lvl w:ilvl="4">
      <w:start w:val="1"/>
      <w:numFmt w:val="bullet"/>
      <w:lvlText w:val="o"/>
      <w:lvlJc w:val="left"/>
      <w:pPr>
        <w:ind w:left="3174" w:hanging="360"/>
      </w:pPr>
      <w:rPr>
        <w:rFonts w:ascii="Courier New" w:hAnsi="Courier New"/>
      </w:rPr>
    </w:lvl>
    <w:lvl w:ilvl="5">
      <w:start w:val="1"/>
      <w:numFmt w:val="bullet"/>
      <w:lvlText w:val=""/>
      <w:lvlJc w:val="left"/>
      <w:pPr>
        <w:ind w:left="3894" w:hanging="360"/>
      </w:pPr>
      <w:rPr>
        <w:rFonts w:ascii="Wingdings" w:hAnsi="Wingdings"/>
      </w:rPr>
    </w:lvl>
    <w:lvl w:ilvl="6">
      <w:start w:val="1"/>
      <w:numFmt w:val="bullet"/>
      <w:lvlText w:val=""/>
      <w:lvlJc w:val="left"/>
      <w:pPr>
        <w:ind w:left="4614" w:hanging="360"/>
      </w:pPr>
      <w:rPr>
        <w:rFonts w:ascii="Symbol" w:hAnsi="Symbol"/>
      </w:rPr>
    </w:lvl>
    <w:lvl w:ilvl="7">
      <w:start w:val="1"/>
      <w:numFmt w:val="bullet"/>
      <w:lvlText w:val="o"/>
      <w:lvlJc w:val="left"/>
      <w:pPr>
        <w:ind w:left="5334" w:hanging="360"/>
      </w:pPr>
      <w:rPr>
        <w:rFonts w:ascii="Courier New" w:hAnsi="Courier New"/>
      </w:rPr>
    </w:lvl>
    <w:lvl w:ilvl="8">
      <w:start w:val="1"/>
      <w:numFmt w:val="bullet"/>
      <w:lvlText w:val=""/>
      <w:lvlJc w:val="left"/>
      <w:pPr>
        <w:ind w:left="6054" w:hanging="360"/>
      </w:pPr>
      <w:rPr>
        <w:rFonts w:ascii="Wingdings" w:hAnsi="Wingdings"/>
      </w:rPr>
    </w:lvl>
  </w:abstractNum>
  <w:abstractNum w:abstractNumId="2" w15:restartNumberingAfterBreak="0">
    <w:nsid w:val="04AB5168"/>
    <w:multiLevelType w:val="multilevel"/>
    <w:tmpl w:val="866C5154"/>
    <w:lvl w:ilvl="0">
      <w:start w:val="1"/>
      <w:numFmt w:val="bullet"/>
      <w:lvlText w:val=""/>
      <w:lvlJc w:val="left"/>
      <w:pPr>
        <w:ind w:left="720" w:hanging="360"/>
      </w:pPr>
      <w:rPr>
        <w:rFonts w:ascii="Symbol" w:hAnsi="Symbol"/>
        <w:color w:val="00000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057A56CC"/>
    <w:multiLevelType w:val="multilevel"/>
    <w:tmpl w:val="4C748B34"/>
    <w:lvl w:ilvl="0">
      <w:start w:val="1"/>
      <w:numFmt w:val="bullet"/>
      <w:lvlText w:val=""/>
      <w:lvlJc w:val="left"/>
      <w:pPr>
        <w:ind w:left="720" w:hanging="360"/>
      </w:pPr>
      <w:rPr>
        <w:rFonts w:ascii="Symbol" w:hAnsi="Symbol"/>
        <w:color w:val="00000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08B12981"/>
    <w:multiLevelType w:val="multilevel"/>
    <w:tmpl w:val="F38034C6"/>
    <w:lvl w:ilvl="0">
      <w:start w:val="1"/>
      <w:numFmt w:val="bullet"/>
      <w:lvlText w:val=""/>
      <w:lvlJc w:val="left"/>
      <w:pPr>
        <w:ind w:left="782" w:hanging="360"/>
      </w:pPr>
      <w:rPr>
        <w:rFonts w:ascii="Symbol" w:hAnsi="Symbol"/>
        <w:color w:val="000000"/>
      </w:rPr>
    </w:lvl>
    <w:lvl w:ilvl="1">
      <w:start w:val="1"/>
      <w:numFmt w:val="bullet"/>
      <w:lvlText w:val="o"/>
      <w:lvlJc w:val="left"/>
      <w:pPr>
        <w:ind w:left="1502" w:hanging="360"/>
      </w:pPr>
      <w:rPr>
        <w:rFonts w:ascii="Courier New" w:hAnsi="Courier New"/>
      </w:rPr>
    </w:lvl>
    <w:lvl w:ilvl="2">
      <w:start w:val="1"/>
      <w:numFmt w:val="bullet"/>
      <w:lvlText w:val=""/>
      <w:lvlJc w:val="left"/>
      <w:pPr>
        <w:ind w:left="2222" w:hanging="360"/>
      </w:pPr>
      <w:rPr>
        <w:rFonts w:ascii="Wingdings" w:hAnsi="Wingdings"/>
      </w:rPr>
    </w:lvl>
    <w:lvl w:ilvl="3">
      <w:start w:val="1"/>
      <w:numFmt w:val="bullet"/>
      <w:lvlText w:val=""/>
      <w:lvlJc w:val="left"/>
      <w:pPr>
        <w:ind w:left="2942" w:hanging="360"/>
      </w:pPr>
      <w:rPr>
        <w:rFonts w:ascii="Symbol" w:hAnsi="Symbol"/>
      </w:rPr>
    </w:lvl>
    <w:lvl w:ilvl="4">
      <w:start w:val="1"/>
      <w:numFmt w:val="bullet"/>
      <w:lvlText w:val="o"/>
      <w:lvlJc w:val="left"/>
      <w:pPr>
        <w:ind w:left="3662" w:hanging="360"/>
      </w:pPr>
      <w:rPr>
        <w:rFonts w:ascii="Courier New" w:hAnsi="Courier New"/>
      </w:rPr>
    </w:lvl>
    <w:lvl w:ilvl="5">
      <w:start w:val="1"/>
      <w:numFmt w:val="bullet"/>
      <w:lvlText w:val=""/>
      <w:lvlJc w:val="left"/>
      <w:pPr>
        <w:ind w:left="4382" w:hanging="360"/>
      </w:pPr>
      <w:rPr>
        <w:rFonts w:ascii="Wingdings" w:hAnsi="Wingdings"/>
      </w:rPr>
    </w:lvl>
    <w:lvl w:ilvl="6">
      <w:start w:val="1"/>
      <w:numFmt w:val="bullet"/>
      <w:lvlText w:val=""/>
      <w:lvlJc w:val="left"/>
      <w:pPr>
        <w:ind w:left="5102" w:hanging="360"/>
      </w:pPr>
      <w:rPr>
        <w:rFonts w:ascii="Symbol" w:hAnsi="Symbol"/>
      </w:rPr>
    </w:lvl>
    <w:lvl w:ilvl="7">
      <w:start w:val="1"/>
      <w:numFmt w:val="bullet"/>
      <w:lvlText w:val="o"/>
      <w:lvlJc w:val="left"/>
      <w:pPr>
        <w:ind w:left="5822" w:hanging="360"/>
      </w:pPr>
      <w:rPr>
        <w:rFonts w:ascii="Courier New" w:hAnsi="Courier New"/>
      </w:rPr>
    </w:lvl>
    <w:lvl w:ilvl="8">
      <w:start w:val="1"/>
      <w:numFmt w:val="bullet"/>
      <w:lvlText w:val=""/>
      <w:lvlJc w:val="left"/>
      <w:pPr>
        <w:ind w:left="6542" w:hanging="360"/>
      </w:pPr>
      <w:rPr>
        <w:rFonts w:ascii="Wingdings" w:hAnsi="Wingdings"/>
      </w:rPr>
    </w:lvl>
  </w:abstractNum>
  <w:abstractNum w:abstractNumId="5" w15:restartNumberingAfterBreak="0">
    <w:nsid w:val="0A3421CD"/>
    <w:multiLevelType w:val="multilevel"/>
    <w:tmpl w:val="F62ED774"/>
    <w:lvl w:ilvl="0">
      <w:start w:val="1"/>
      <w:numFmt w:val="bullet"/>
      <w:lvlText w:val=""/>
      <w:lvlJc w:val="left"/>
      <w:pPr>
        <w:ind w:left="782" w:hanging="360"/>
      </w:pPr>
      <w:rPr>
        <w:rFonts w:ascii="Wingdings" w:hAnsi="Wingdings"/>
      </w:rPr>
    </w:lvl>
    <w:lvl w:ilvl="1">
      <w:start w:val="1"/>
      <w:numFmt w:val="bullet"/>
      <w:lvlText w:val="o"/>
      <w:lvlJc w:val="left"/>
      <w:pPr>
        <w:ind w:left="1502" w:hanging="360"/>
      </w:pPr>
      <w:rPr>
        <w:rFonts w:ascii="Courier New" w:hAnsi="Courier New"/>
      </w:rPr>
    </w:lvl>
    <w:lvl w:ilvl="2">
      <w:start w:val="1"/>
      <w:numFmt w:val="bullet"/>
      <w:lvlText w:val=""/>
      <w:lvlJc w:val="left"/>
      <w:pPr>
        <w:ind w:left="2222" w:hanging="360"/>
      </w:pPr>
      <w:rPr>
        <w:rFonts w:ascii="Wingdings" w:hAnsi="Wingdings"/>
      </w:rPr>
    </w:lvl>
    <w:lvl w:ilvl="3">
      <w:start w:val="1"/>
      <w:numFmt w:val="bullet"/>
      <w:lvlText w:val=""/>
      <w:lvlJc w:val="left"/>
      <w:pPr>
        <w:ind w:left="2942" w:hanging="360"/>
      </w:pPr>
      <w:rPr>
        <w:rFonts w:ascii="Symbol" w:hAnsi="Symbol"/>
      </w:rPr>
    </w:lvl>
    <w:lvl w:ilvl="4">
      <w:start w:val="1"/>
      <w:numFmt w:val="bullet"/>
      <w:lvlText w:val="o"/>
      <w:lvlJc w:val="left"/>
      <w:pPr>
        <w:ind w:left="3662" w:hanging="360"/>
      </w:pPr>
      <w:rPr>
        <w:rFonts w:ascii="Courier New" w:hAnsi="Courier New"/>
      </w:rPr>
    </w:lvl>
    <w:lvl w:ilvl="5">
      <w:start w:val="1"/>
      <w:numFmt w:val="bullet"/>
      <w:lvlText w:val=""/>
      <w:lvlJc w:val="left"/>
      <w:pPr>
        <w:ind w:left="4382" w:hanging="360"/>
      </w:pPr>
      <w:rPr>
        <w:rFonts w:ascii="Wingdings" w:hAnsi="Wingdings"/>
      </w:rPr>
    </w:lvl>
    <w:lvl w:ilvl="6">
      <w:start w:val="1"/>
      <w:numFmt w:val="bullet"/>
      <w:lvlText w:val=""/>
      <w:lvlJc w:val="left"/>
      <w:pPr>
        <w:ind w:left="5102" w:hanging="360"/>
      </w:pPr>
      <w:rPr>
        <w:rFonts w:ascii="Symbol" w:hAnsi="Symbol"/>
      </w:rPr>
    </w:lvl>
    <w:lvl w:ilvl="7">
      <w:start w:val="1"/>
      <w:numFmt w:val="bullet"/>
      <w:lvlText w:val="o"/>
      <w:lvlJc w:val="left"/>
      <w:pPr>
        <w:ind w:left="5822" w:hanging="360"/>
      </w:pPr>
      <w:rPr>
        <w:rFonts w:ascii="Courier New" w:hAnsi="Courier New"/>
      </w:rPr>
    </w:lvl>
    <w:lvl w:ilvl="8">
      <w:start w:val="1"/>
      <w:numFmt w:val="bullet"/>
      <w:lvlText w:val=""/>
      <w:lvlJc w:val="left"/>
      <w:pPr>
        <w:ind w:left="6542" w:hanging="360"/>
      </w:pPr>
      <w:rPr>
        <w:rFonts w:ascii="Wingdings" w:hAnsi="Wingdings"/>
      </w:rPr>
    </w:lvl>
  </w:abstractNum>
  <w:abstractNum w:abstractNumId="6" w15:restartNumberingAfterBreak="0">
    <w:nsid w:val="0BA31668"/>
    <w:multiLevelType w:val="multilevel"/>
    <w:tmpl w:val="A1C8151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15:restartNumberingAfterBreak="0">
    <w:nsid w:val="0CB476EA"/>
    <w:multiLevelType w:val="multilevel"/>
    <w:tmpl w:val="A1E0AA18"/>
    <w:lvl w:ilvl="0">
      <w:start w:val="1"/>
      <w:numFmt w:val="bullet"/>
      <w:lvlText w:val=""/>
      <w:lvlJc w:val="left"/>
      <w:pPr>
        <w:ind w:left="294" w:hanging="360"/>
      </w:pPr>
      <w:rPr>
        <w:rFonts w:ascii="Symbol" w:hAnsi="Symbol"/>
        <w:color w:val="000000"/>
      </w:rPr>
    </w:lvl>
    <w:lvl w:ilvl="1">
      <w:start w:val="1"/>
      <w:numFmt w:val="bullet"/>
      <w:lvlText w:val="o"/>
      <w:lvlJc w:val="left"/>
      <w:pPr>
        <w:ind w:left="1014" w:hanging="360"/>
      </w:pPr>
      <w:rPr>
        <w:rFonts w:ascii="Courier New" w:hAnsi="Courier New"/>
      </w:rPr>
    </w:lvl>
    <w:lvl w:ilvl="2">
      <w:start w:val="1"/>
      <w:numFmt w:val="bullet"/>
      <w:lvlText w:val=""/>
      <w:lvlJc w:val="left"/>
      <w:pPr>
        <w:ind w:left="1734" w:hanging="360"/>
      </w:pPr>
      <w:rPr>
        <w:rFonts w:ascii="Wingdings" w:hAnsi="Wingdings"/>
      </w:rPr>
    </w:lvl>
    <w:lvl w:ilvl="3">
      <w:start w:val="1"/>
      <w:numFmt w:val="bullet"/>
      <w:lvlText w:val=""/>
      <w:lvlJc w:val="left"/>
      <w:pPr>
        <w:ind w:left="2454" w:hanging="360"/>
      </w:pPr>
      <w:rPr>
        <w:rFonts w:ascii="Symbol" w:hAnsi="Symbol"/>
      </w:rPr>
    </w:lvl>
    <w:lvl w:ilvl="4">
      <w:start w:val="1"/>
      <w:numFmt w:val="bullet"/>
      <w:lvlText w:val="o"/>
      <w:lvlJc w:val="left"/>
      <w:pPr>
        <w:ind w:left="3174" w:hanging="360"/>
      </w:pPr>
      <w:rPr>
        <w:rFonts w:ascii="Courier New" w:hAnsi="Courier New"/>
      </w:rPr>
    </w:lvl>
    <w:lvl w:ilvl="5">
      <w:start w:val="1"/>
      <w:numFmt w:val="bullet"/>
      <w:lvlText w:val=""/>
      <w:lvlJc w:val="left"/>
      <w:pPr>
        <w:ind w:left="3894" w:hanging="360"/>
      </w:pPr>
      <w:rPr>
        <w:rFonts w:ascii="Wingdings" w:hAnsi="Wingdings"/>
      </w:rPr>
    </w:lvl>
    <w:lvl w:ilvl="6">
      <w:start w:val="1"/>
      <w:numFmt w:val="bullet"/>
      <w:lvlText w:val=""/>
      <w:lvlJc w:val="left"/>
      <w:pPr>
        <w:ind w:left="4614" w:hanging="360"/>
      </w:pPr>
      <w:rPr>
        <w:rFonts w:ascii="Symbol" w:hAnsi="Symbol"/>
      </w:rPr>
    </w:lvl>
    <w:lvl w:ilvl="7">
      <w:start w:val="1"/>
      <w:numFmt w:val="bullet"/>
      <w:lvlText w:val="o"/>
      <w:lvlJc w:val="left"/>
      <w:pPr>
        <w:ind w:left="5334" w:hanging="360"/>
      </w:pPr>
      <w:rPr>
        <w:rFonts w:ascii="Courier New" w:hAnsi="Courier New"/>
      </w:rPr>
    </w:lvl>
    <w:lvl w:ilvl="8">
      <w:start w:val="1"/>
      <w:numFmt w:val="bullet"/>
      <w:lvlText w:val=""/>
      <w:lvlJc w:val="left"/>
      <w:pPr>
        <w:ind w:left="6054" w:hanging="360"/>
      </w:pPr>
      <w:rPr>
        <w:rFonts w:ascii="Wingdings" w:hAnsi="Wingdings"/>
      </w:rPr>
    </w:lvl>
  </w:abstractNum>
  <w:abstractNum w:abstractNumId="8" w15:restartNumberingAfterBreak="0">
    <w:nsid w:val="13A3008C"/>
    <w:multiLevelType w:val="multilevel"/>
    <w:tmpl w:val="37EA6B58"/>
    <w:lvl w:ilvl="0">
      <w:start w:val="1"/>
      <w:numFmt w:val="bullet"/>
      <w:lvlText w:val=""/>
      <w:lvlJc w:val="left"/>
      <w:pPr>
        <w:ind w:left="787" w:hanging="360"/>
      </w:pPr>
      <w:rPr>
        <w:rFonts w:ascii="Symbol" w:hAnsi="Symbol"/>
      </w:rPr>
    </w:lvl>
    <w:lvl w:ilvl="1">
      <w:start w:val="1"/>
      <w:numFmt w:val="bullet"/>
      <w:lvlText w:val="o"/>
      <w:lvlJc w:val="left"/>
      <w:pPr>
        <w:ind w:left="1507" w:hanging="360"/>
      </w:pPr>
      <w:rPr>
        <w:rFonts w:ascii="Courier New" w:hAnsi="Courier New"/>
      </w:rPr>
    </w:lvl>
    <w:lvl w:ilvl="2">
      <w:start w:val="1"/>
      <w:numFmt w:val="bullet"/>
      <w:lvlText w:val=""/>
      <w:lvlJc w:val="left"/>
      <w:pPr>
        <w:ind w:left="2227" w:hanging="360"/>
      </w:pPr>
      <w:rPr>
        <w:rFonts w:ascii="Wingdings" w:hAnsi="Wingdings"/>
      </w:rPr>
    </w:lvl>
    <w:lvl w:ilvl="3">
      <w:start w:val="1"/>
      <w:numFmt w:val="bullet"/>
      <w:lvlText w:val=""/>
      <w:lvlJc w:val="left"/>
      <w:pPr>
        <w:ind w:left="2947" w:hanging="360"/>
      </w:pPr>
      <w:rPr>
        <w:rFonts w:ascii="Symbol" w:hAnsi="Symbol"/>
      </w:rPr>
    </w:lvl>
    <w:lvl w:ilvl="4">
      <w:start w:val="1"/>
      <w:numFmt w:val="bullet"/>
      <w:lvlText w:val="o"/>
      <w:lvlJc w:val="left"/>
      <w:pPr>
        <w:ind w:left="3667" w:hanging="360"/>
      </w:pPr>
      <w:rPr>
        <w:rFonts w:ascii="Courier New" w:hAnsi="Courier New"/>
      </w:rPr>
    </w:lvl>
    <w:lvl w:ilvl="5">
      <w:start w:val="1"/>
      <w:numFmt w:val="bullet"/>
      <w:lvlText w:val=""/>
      <w:lvlJc w:val="left"/>
      <w:pPr>
        <w:ind w:left="4387" w:hanging="360"/>
      </w:pPr>
      <w:rPr>
        <w:rFonts w:ascii="Wingdings" w:hAnsi="Wingdings"/>
      </w:rPr>
    </w:lvl>
    <w:lvl w:ilvl="6">
      <w:start w:val="1"/>
      <w:numFmt w:val="bullet"/>
      <w:lvlText w:val=""/>
      <w:lvlJc w:val="left"/>
      <w:pPr>
        <w:ind w:left="5107" w:hanging="360"/>
      </w:pPr>
      <w:rPr>
        <w:rFonts w:ascii="Symbol" w:hAnsi="Symbol"/>
      </w:rPr>
    </w:lvl>
    <w:lvl w:ilvl="7">
      <w:start w:val="1"/>
      <w:numFmt w:val="bullet"/>
      <w:lvlText w:val="o"/>
      <w:lvlJc w:val="left"/>
      <w:pPr>
        <w:ind w:left="5827" w:hanging="360"/>
      </w:pPr>
      <w:rPr>
        <w:rFonts w:ascii="Courier New" w:hAnsi="Courier New"/>
      </w:rPr>
    </w:lvl>
    <w:lvl w:ilvl="8">
      <w:start w:val="1"/>
      <w:numFmt w:val="bullet"/>
      <w:lvlText w:val=""/>
      <w:lvlJc w:val="left"/>
      <w:pPr>
        <w:ind w:left="6547" w:hanging="360"/>
      </w:pPr>
      <w:rPr>
        <w:rFonts w:ascii="Wingdings" w:hAnsi="Wingdings"/>
      </w:rPr>
    </w:lvl>
  </w:abstractNum>
  <w:abstractNum w:abstractNumId="9" w15:restartNumberingAfterBreak="0">
    <w:nsid w:val="14232D39"/>
    <w:multiLevelType w:val="multilevel"/>
    <w:tmpl w:val="49304E2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15:restartNumberingAfterBreak="0">
    <w:nsid w:val="164577CB"/>
    <w:multiLevelType w:val="multilevel"/>
    <w:tmpl w:val="D8E09E7E"/>
    <w:lvl w:ilvl="0">
      <w:start w:val="1"/>
      <w:numFmt w:val="bullet"/>
      <w:lvlText w:val=""/>
      <w:lvlJc w:val="left"/>
      <w:pPr>
        <w:ind w:left="782" w:hanging="360"/>
      </w:pPr>
      <w:rPr>
        <w:rFonts w:ascii="Symbol" w:hAnsi="Symbol"/>
      </w:rPr>
    </w:lvl>
    <w:lvl w:ilvl="1">
      <w:start w:val="1"/>
      <w:numFmt w:val="bullet"/>
      <w:lvlText w:val="o"/>
      <w:lvlJc w:val="left"/>
      <w:pPr>
        <w:ind w:left="1502" w:hanging="360"/>
      </w:pPr>
      <w:rPr>
        <w:rFonts w:ascii="Courier New" w:hAnsi="Courier New"/>
      </w:rPr>
    </w:lvl>
    <w:lvl w:ilvl="2">
      <w:start w:val="1"/>
      <w:numFmt w:val="bullet"/>
      <w:lvlText w:val=""/>
      <w:lvlJc w:val="left"/>
      <w:pPr>
        <w:ind w:left="2222" w:hanging="360"/>
      </w:pPr>
      <w:rPr>
        <w:rFonts w:ascii="Wingdings" w:hAnsi="Wingdings"/>
      </w:rPr>
    </w:lvl>
    <w:lvl w:ilvl="3">
      <w:start w:val="1"/>
      <w:numFmt w:val="bullet"/>
      <w:lvlText w:val=""/>
      <w:lvlJc w:val="left"/>
      <w:pPr>
        <w:ind w:left="2942" w:hanging="360"/>
      </w:pPr>
      <w:rPr>
        <w:rFonts w:ascii="Symbol" w:hAnsi="Symbol"/>
      </w:rPr>
    </w:lvl>
    <w:lvl w:ilvl="4">
      <w:start w:val="1"/>
      <w:numFmt w:val="bullet"/>
      <w:lvlText w:val="o"/>
      <w:lvlJc w:val="left"/>
      <w:pPr>
        <w:ind w:left="3662" w:hanging="360"/>
      </w:pPr>
      <w:rPr>
        <w:rFonts w:ascii="Courier New" w:hAnsi="Courier New"/>
      </w:rPr>
    </w:lvl>
    <w:lvl w:ilvl="5">
      <w:start w:val="1"/>
      <w:numFmt w:val="bullet"/>
      <w:lvlText w:val=""/>
      <w:lvlJc w:val="left"/>
      <w:pPr>
        <w:ind w:left="4382" w:hanging="360"/>
      </w:pPr>
      <w:rPr>
        <w:rFonts w:ascii="Wingdings" w:hAnsi="Wingdings"/>
      </w:rPr>
    </w:lvl>
    <w:lvl w:ilvl="6">
      <w:start w:val="1"/>
      <w:numFmt w:val="bullet"/>
      <w:lvlText w:val=""/>
      <w:lvlJc w:val="left"/>
      <w:pPr>
        <w:ind w:left="5102" w:hanging="360"/>
      </w:pPr>
      <w:rPr>
        <w:rFonts w:ascii="Symbol" w:hAnsi="Symbol"/>
      </w:rPr>
    </w:lvl>
    <w:lvl w:ilvl="7">
      <w:start w:val="1"/>
      <w:numFmt w:val="bullet"/>
      <w:lvlText w:val="o"/>
      <w:lvlJc w:val="left"/>
      <w:pPr>
        <w:ind w:left="5822" w:hanging="360"/>
      </w:pPr>
      <w:rPr>
        <w:rFonts w:ascii="Courier New" w:hAnsi="Courier New"/>
      </w:rPr>
    </w:lvl>
    <w:lvl w:ilvl="8">
      <w:start w:val="1"/>
      <w:numFmt w:val="bullet"/>
      <w:lvlText w:val=""/>
      <w:lvlJc w:val="left"/>
      <w:pPr>
        <w:ind w:left="6542" w:hanging="360"/>
      </w:pPr>
      <w:rPr>
        <w:rFonts w:ascii="Wingdings" w:hAnsi="Wingdings"/>
      </w:rPr>
    </w:lvl>
  </w:abstractNum>
  <w:abstractNum w:abstractNumId="11" w15:restartNumberingAfterBreak="0">
    <w:nsid w:val="17E602C6"/>
    <w:multiLevelType w:val="multilevel"/>
    <w:tmpl w:val="0B9A5A7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15:restartNumberingAfterBreak="0">
    <w:nsid w:val="21FE47AD"/>
    <w:multiLevelType w:val="multilevel"/>
    <w:tmpl w:val="FD26488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15:restartNumberingAfterBreak="0">
    <w:nsid w:val="25002CBE"/>
    <w:multiLevelType w:val="multilevel"/>
    <w:tmpl w:val="7286E70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15:restartNumberingAfterBreak="0">
    <w:nsid w:val="28E05167"/>
    <w:multiLevelType w:val="multilevel"/>
    <w:tmpl w:val="3364CDBA"/>
    <w:lvl w:ilvl="0">
      <w:start w:val="1"/>
      <w:numFmt w:val="bullet"/>
      <w:lvlText w:val=""/>
      <w:lvlJc w:val="left"/>
      <w:pPr>
        <w:ind w:left="294" w:hanging="360"/>
      </w:pPr>
      <w:rPr>
        <w:rFonts w:ascii="Symbol" w:hAnsi="Symbol"/>
      </w:rPr>
    </w:lvl>
    <w:lvl w:ilvl="1">
      <w:start w:val="1"/>
      <w:numFmt w:val="bullet"/>
      <w:lvlText w:val="o"/>
      <w:lvlJc w:val="left"/>
      <w:pPr>
        <w:ind w:left="1014" w:hanging="360"/>
      </w:pPr>
      <w:rPr>
        <w:rFonts w:ascii="Courier New" w:hAnsi="Courier New"/>
      </w:rPr>
    </w:lvl>
    <w:lvl w:ilvl="2">
      <w:start w:val="1"/>
      <w:numFmt w:val="bullet"/>
      <w:lvlText w:val=""/>
      <w:lvlJc w:val="left"/>
      <w:pPr>
        <w:ind w:left="1734" w:hanging="360"/>
      </w:pPr>
      <w:rPr>
        <w:rFonts w:ascii="Wingdings" w:hAnsi="Wingdings"/>
      </w:rPr>
    </w:lvl>
    <w:lvl w:ilvl="3">
      <w:start w:val="1"/>
      <w:numFmt w:val="bullet"/>
      <w:lvlText w:val=""/>
      <w:lvlJc w:val="left"/>
      <w:pPr>
        <w:ind w:left="2454" w:hanging="360"/>
      </w:pPr>
      <w:rPr>
        <w:rFonts w:ascii="Symbol" w:hAnsi="Symbol"/>
      </w:rPr>
    </w:lvl>
    <w:lvl w:ilvl="4">
      <w:start w:val="1"/>
      <w:numFmt w:val="bullet"/>
      <w:lvlText w:val="o"/>
      <w:lvlJc w:val="left"/>
      <w:pPr>
        <w:ind w:left="3174" w:hanging="360"/>
      </w:pPr>
      <w:rPr>
        <w:rFonts w:ascii="Courier New" w:hAnsi="Courier New"/>
      </w:rPr>
    </w:lvl>
    <w:lvl w:ilvl="5">
      <w:start w:val="1"/>
      <w:numFmt w:val="bullet"/>
      <w:lvlText w:val=""/>
      <w:lvlJc w:val="left"/>
      <w:pPr>
        <w:ind w:left="3894" w:hanging="360"/>
      </w:pPr>
      <w:rPr>
        <w:rFonts w:ascii="Wingdings" w:hAnsi="Wingdings"/>
      </w:rPr>
    </w:lvl>
    <w:lvl w:ilvl="6">
      <w:start w:val="1"/>
      <w:numFmt w:val="bullet"/>
      <w:lvlText w:val=""/>
      <w:lvlJc w:val="left"/>
      <w:pPr>
        <w:ind w:left="4614" w:hanging="360"/>
      </w:pPr>
      <w:rPr>
        <w:rFonts w:ascii="Symbol" w:hAnsi="Symbol"/>
      </w:rPr>
    </w:lvl>
    <w:lvl w:ilvl="7">
      <w:start w:val="1"/>
      <w:numFmt w:val="bullet"/>
      <w:lvlText w:val="o"/>
      <w:lvlJc w:val="left"/>
      <w:pPr>
        <w:ind w:left="5334" w:hanging="360"/>
      </w:pPr>
      <w:rPr>
        <w:rFonts w:ascii="Courier New" w:hAnsi="Courier New"/>
      </w:rPr>
    </w:lvl>
    <w:lvl w:ilvl="8">
      <w:start w:val="1"/>
      <w:numFmt w:val="bullet"/>
      <w:lvlText w:val=""/>
      <w:lvlJc w:val="left"/>
      <w:pPr>
        <w:ind w:left="6054" w:hanging="360"/>
      </w:pPr>
      <w:rPr>
        <w:rFonts w:ascii="Wingdings" w:hAnsi="Wingdings"/>
      </w:rPr>
    </w:lvl>
  </w:abstractNum>
  <w:abstractNum w:abstractNumId="15" w15:restartNumberingAfterBreak="0">
    <w:nsid w:val="2C044D94"/>
    <w:multiLevelType w:val="multilevel"/>
    <w:tmpl w:val="DD14C2D6"/>
    <w:lvl w:ilvl="0">
      <w:start w:val="1"/>
      <w:numFmt w:val="bullet"/>
      <w:lvlText w:val=""/>
      <w:lvlJc w:val="left"/>
      <w:pPr>
        <w:ind w:left="782" w:hanging="360"/>
      </w:pPr>
      <w:rPr>
        <w:rFonts w:ascii="Symbol" w:hAnsi="Symbol"/>
      </w:rPr>
    </w:lvl>
    <w:lvl w:ilvl="1">
      <w:start w:val="1"/>
      <w:numFmt w:val="bullet"/>
      <w:lvlText w:val="o"/>
      <w:lvlJc w:val="left"/>
      <w:pPr>
        <w:ind w:left="1502" w:hanging="360"/>
      </w:pPr>
      <w:rPr>
        <w:rFonts w:ascii="Courier New" w:hAnsi="Courier New"/>
      </w:rPr>
    </w:lvl>
    <w:lvl w:ilvl="2">
      <w:start w:val="1"/>
      <w:numFmt w:val="bullet"/>
      <w:lvlText w:val=""/>
      <w:lvlJc w:val="left"/>
      <w:pPr>
        <w:ind w:left="2222" w:hanging="360"/>
      </w:pPr>
      <w:rPr>
        <w:rFonts w:ascii="Wingdings" w:hAnsi="Wingdings"/>
      </w:rPr>
    </w:lvl>
    <w:lvl w:ilvl="3">
      <w:start w:val="1"/>
      <w:numFmt w:val="bullet"/>
      <w:lvlText w:val=""/>
      <w:lvlJc w:val="left"/>
      <w:pPr>
        <w:ind w:left="2942" w:hanging="360"/>
      </w:pPr>
      <w:rPr>
        <w:rFonts w:ascii="Symbol" w:hAnsi="Symbol"/>
      </w:rPr>
    </w:lvl>
    <w:lvl w:ilvl="4">
      <w:start w:val="1"/>
      <w:numFmt w:val="bullet"/>
      <w:lvlText w:val="o"/>
      <w:lvlJc w:val="left"/>
      <w:pPr>
        <w:ind w:left="3662" w:hanging="360"/>
      </w:pPr>
      <w:rPr>
        <w:rFonts w:ascii="Courier New" w:hAnsi="Courier New"/>
      </w:rPr>
    </w:lvl>
    <w:lvl w:ilvl="5">
      <w:start w:val="1"/>
      <w:numFmt w:val="bullet"/>
      <w:lvlText w:val=""/>
      <w:lvlJc w:val="left"/>
      <w:pPr>
        <w:ind w:left="4382" w:hanging="360"/>
      </w:pPr>
      <w:rPr>
        <w:rFonts w:ascii="Wingdings" w:hAnsi="Wingdings"/>
      </w:rPr>
    </w:lvl>
    <w:lvl w:ilvl="6">
      <w:start w:val="1"/>
      <w:numFmt w:val="bullet"/>
      <w:lvlText w:val=""/>
      <w:lvlJc w:val="left"/>
      <w:pPr>
        <w:ind w:left="5102" w:hanging="360"/>
      </w:pPr>
      <w:rPr>
        <w:rFonts w:ascii="Symbol" w:hAnsi="Symbol"/>
      </w:rPr>
    </w:lvl>
    <w:lvl w:ilvl="7">
      <w:start w:val="1"/>
      <w:numFmt w:val="bullet"/>
      <w:lvlText w:val="o"/>
      <w:lvlJc w:val="left"/>
      <w:pPr>
        <w:ind w:left="5822" w:hanging="360"/>
      </w:pPr>
      <w:rPr>
        <w:rFonts w:ascii="Courier New" w:hAnsi="Courier New"/>
      </w:rPr>
    </w:lvl>
    <w:lvl w:ilvl="8">
      <w:start w:val="1"/>
      <w:numFmt w:val="bullet"/>
      <w:lvlText w:val=""/>
      <w:lvlJc w:val="left"/>
      <w:pPr>
        <w:ind w:left="6542" w:hanging="360"/>
      </w:pPr>
      <w:rPr>
        <w:rFonts w:ascii="Wingdings" w:hAnsi="Wingdings"/>
      </w:rPr>
    </w:lvl>
  </w:abstractNum>
  <w:abstractNum w:abstractNumId="16" w15:restartNumberingAfterBreak="0">
    <w:nsid w:val="2D1F4C6E"/>
    <w:multiLevelType w:val="multilevel"/>
    <w:tmpl w:val="9BC43CD8"/>
    <w:lvl w:ilvl="0">
      <w:start w:val="1"/>
      <w:numFmt w:val="bullet"/>
      <w:lvlText w:val=""/>
      <w:lvlJc w:val="left"/>
      <w:pPr>
        <w:ind w:left="782" w:hanging="360"/>
      </w:pPr>
      <w:rPr>
        <w:rFonts w:ascii="Symbol" w:hAnsi="Symbol"/>
        <w:color w:val="000000"/>
      </w:rPr>
    </w:lvl>
    <w:lvl w:ilvl="1">
      <w:start w:val="1"/>
      <w:numFmt w:val="bullet"/>
      <w:lvlText w:val="o"/>
      <w:lvlJc w:val="left"/>
      <w:pPr>
        <w:ind w:left="1502" w:hanging="360"/>
      </w:pPr>
      <w:rPr>
        <w:rFonts w:ascii="Courier New" w:hAnsi="Courier New"/>
      </w:rPr>
    </w:lvl>
    <w:lvl w:ilvl="2">
      <w:start w:val="1"/>
      <w:numFmt w:val="bullet"/>
      <w:lvlText w:val=""/>
      <w:lvlJc w:val="left"/>
      <w:pPr>
        <w:ind w:left="2222" w:hanging="360"/>
      </w:pPr>
      <w:rPr>
        <w:rFonts w:ascii="Wingdings" w:hAnsi="Wingdings"/>
      </w:rPr>
    </w:lvl>
    <w:lvl w:ilvl="3">
      <w:start w:val="1"/>
      <w:numFmt w:val="bullet"/>
      <w:lvlText w:val=""/>
      <w:lvlJc w:val="left"/>
      <w:pPr>
        <w:ind w:left="2942" w:hanging="360"/>
      </w:pPr>
      <w:rPr>
        <w:rFonts w:ascii="Symbol" w:hAnsi="Symbol"/>
      </w:rPr>
    </w:lvl>
    <w:lvl w:ilvl="4">
      <w:start w:val="1"/>
      <w:numFmt w:val="bullet"/>
      <w:lvlText w:val="o"/>
      <w:lvlJc w:val="left"/>
      <w:pPr>
        <w:ind w:left="3662" w:hanging="360"/>
      </w:pPr>
      <w:rPr>
        <w:rFonts w:ascii="Courier New" w:hAnsi="Courier New"/>
      </w:rPr>
    </w:lvl>
    <w:lvl w:ilvl="5">
      <w:start w:val="1"/>
      <w:numFmt w:val="bullet"/>
      <w:lvlText w:val=""/>
      <w:lvlJc w:val="left"/>
      <w:pPr>
        <w:ind w:left="4382" w:hanging="360"/>
      </w:pPr>
      <w:rPr>
        <w:rFonts w:ascii="Wingdings" w:hAnsi="Wingdings"/>
      </w:rPr>
    </w:lvl>
    <w:lvl w:ilvl="6">
      <w:start w:val="1"/>
      <w:numFmt w:val="bullet"/>
      <w:lvlText w:val=""/>
      <w:lvlJc w:val="left"/>
      <w:pPr>
        <w:ind w:left="5102" w:hanging="360"/>
      </w:pPr>
      <w:rPr>
        <w:rFonts w:ascii="Symbol" w:hAnsi="Symbol"/>
      </w:rPr>
    </w:lvl>
    <w:lvl w:ilvl="7">
      <w:start w:val="1"/>
      <w:numFmt w:val="bullet"/>
      <w:lvlText w:val="o"/>
      <w:lvlJc w:val="left"/>
      <w:pPr>
        <w:ind w:left="5822" w:hanging="360"/>
      </w:pPr>
      <w:rPr>
        <w:rFonts w:ascii="Courier New" w:hAnsi="Courier New"/>
      </w:rPr>
    </w:lvl>
    <w:lvl w:ilvl="8">
      <w:start w:val="1"/>
      <w:numFmt w:val="bullet"/>
      <w:lvlText w:val=""/>
      <w:lvlJc w:val="left"/>
      <w:pPr>
        <w:ind w:left="6542" w:hanging="360"/>
      </w:pPr>
      <w:rPr>
        <w:rFonts w:ascii="Wingdings" w:hAnsi="Wingdings"/>
      </w:rPr>
    </w:lvl>
  </w:abstractNum>
  <w:abstractNum w:abstractNumId="17" w15:restartNumberingAfterBreak="0">
    <w:nsid w:val="305B4CD5"/>
    <w:multiLevelType w:val="multilevel"/>
    <w:tmpl w:val="A02EA2C8"/>
    <w:lvl w:ilvl="0">
      <w:start w:val="1"/>
      <w:numFmt w:val="bullet"/>
      <w:lvlText w:val=""/>
      <w:lvlJc w:val="left"/>
      <w:pPr>
        <w:ind w:left="787" w:hanging="360"/>
      </w:pPr>
      <w:rPr>
        <w:rFonts w:ascii="Symbol" w:hAnsi="Symbol"/>
      </w:rPr>
    </w:lvl>
    <w:lvl w:ilvl="1">
      <w:start w:val="1"/>
      <w:numFmt w:val="bullet"/>
      <w:lvlText w:val="o"/>
      <w:lvlJc w:val="left"/>
      <w:pPr>
        <w:ind w:left="1507" w:hanging="360"/>
      </w:pPr>
      <w:rPr>
        <w:rFonts w:ascii="Courier New" w:hAnsi="Courier New"/>
      </w:rPr>
    </w:lvl>
    <w:lvl w:ilvl="2">
      <w:start w:val="1"/>
      <w:numFmt w:val="bullet"/>
      <w:lvlText w:val=""/>
      <w:lvlJc w:val="left"/>
      <w:pPr>
        <w:ind w:left="2227" w:hanging="360"/>
      </w:pPr>
      <w:rPr>
        <w:rFonts w:ascii="Wingdings" w:hAnsi="Wingdings"/>
      </w:rPr>
    </w:lvl>
    <w:lvl w:ilvl="3">
      <w:start w:val="1"/>
      <w:numFmt w:val="bullet"/>
      <w:lvlText w:val=""/>
      <w:lvlJc w:val="left"/>
      <w:pPr>
        <w:ind w:left="2947" w:hanging="360"/>
      </w:pPr>
      <w:rPr>
        <w:rFonts w:ascii="Symbol" w:hAnsi="Symbol"/>
      </w:rPr>
    </w:lvl>
    <w:lvl w:ilvl="4">
      <w:start w:val="1"/>
      <w:numFmt w:val="bullet"/>
      <w:lvlText w:val="o"/>
      <w:lvlJc w:val="left"/>
      <w:pPr>
        <w:ind w:left="3667" w:hanging="360"/>
      </w:pPr>
      <w:rPr>
        <w:rFonts w:ascii="Courier New" w:hAnsi="Courier New"/>
      </w:rPr>
    </w:lvl>
    <w:lvl w:ilvl="5">
      <w:start w:val="1"/>
      <w:numFmt w:val="bullet"/>
      <w:lvlText w:val=""/>
      <w:lvlJc w:val="left"/>
      <w:pPr>
        <w:ind w:left="4387" w:hanging="360"/>
      </w:pPr>
      <w:rPr>
        <w:rFonts w:ascii="Wingdings" w:hAnsi="Wingdings"/>
      </w:rPr>
    </w:lvl>
    <w:lvl w:ilvl="6">
      <w:start w:val="1"/>
      <w:numFmt w:val="bullet"/>
      <w:lvlText w:val=""/>
      <w:lvlJc w:val="left"/>
      <w:pPr>
        <w:ind w:left="5107" w:hanging="360"/>
      </w:pPr>
      <w:rPr>
        <w:rFonts w:ascii="Symbol" w:hAnsi="Symbol"/>
      </w:rPr>
    </w:lvl>
    <w:lvl w:ilvl="7">
      <w:start w:val="1"/>
      <w:numFmt w:val="bullet"/>
      <w:lvlText w:val="o"/>
      <w:lvlJc w:val="left"/>
      <w:pPr>
        <w:ind w:left="5827" w:hanging="360"/>
      </w:pPr>
      <w:rPr>
        <w:rFonts w:ascii="Courier New" w:hAnsi="Courier New"/>
      </w:rPr>
    </w:lvl>
    <w:lvl w:ilvl="8">
      <w:start w:val="1"/>
      <w:numFmt w:val="bullet"/>
      <w:lvlText w:val=""/>
      <w:lvlJc w:val="left"/>
      <w:pPr>
        <w:ind w:left="6547" w:hanging="360"/>
      </w:pPr>
      <w:rPr>
        <w:rFonts w:ascii="Wingdings" w:hAnsi="Wingdings"/>
      </w:rPr>
    </w:lvl>
  </w:abstractNum>
  <w:abstractNum w:abstractNumId="18" w15:restartNumberingAfterBreak="0">
    <w:nsid w:val="31153F91"/>
    <w:multiLevelType w:val="multilevel"/>
    <w:tmpl w:val="BA1C370C"/>
    <w:lvl w:ilvl="0">
      <w:start w:val="1"/>
      <w:numFmt w:val="bullet"/>
      <w:lvlText w:val=""/>
      <w:lvlJc w:val="left"/>
      <w:pPr>
        <w:ind w:left="1502" w:hanging="360"/>
      </w:pPr>
      <w:rPr>
        <w:rFonts w:ascii="Wingdings" w:hAnsi="Wingdings"/>
      </w:rPr>
    </w:lvl>
    <w:lvl w:ilvl="1">
      <w:start w:val="1"/>
      <w:numFmt w:val="bullet"/>
      <w:lvlText w:val="o"/>
      <w:lvlJc w:val="left"/>
      <w:pPr>
        <w:ind w:left="2222" w:hanging="360"/>
      </w:pPr>
      <w:rPr>
        <w:rFonts w:ascii="Courier New" w:hAnsi="Courier New"/>
      </w:rPr>
    </w:lvl>
    <w:lvl w:ilvl="2">
      <w:start w:val="1"/>
      <w:numFmt w:val="bullet"/>
      <w:lvlText w:val=""/>
      <w:lvlJc w:val="left"/>
      <w:pPr>
        <w:ind w:left="2942" w:hanging="360"/>
      </w:pPr>
      <w:rPr>
        <w:rFonts w:ascii="Wingdings" w:hAnsi="Wingdings"/>
      </w:rPr>
    </w:lvl>
    <w:lvl w:ilvl="3">
      <w:start w:val="1"/>
      <w:numFmt w:val="bullet"/>
      <w:lvlText w:val=""/>
      <w:lvlJc w:val="left"/>
      <w:pPr>
        <w:ind w:left="3662" w:hanging="360"/>
      </w:pPr>
      <w:rPr>
        <w:rFonts w:ascii="Symbol" w:hAnsi="Symbol"/>
      </w:rPr>
    </w:lvl>
    <w:lvl w:ilvl="4">
      <w:start w:val="1"/>
      <w:numFmt w:val="bullet"/>
      <w:lvlText w:val="o"/>
      <w:lvlJc w:val="left"/>
      <w:pPr>
        <w:ind w:left="4382" w:hanging="360"/>
      </w:pPr>
      <w:rPr>
        <w:rFonts w:ascii="Courier New" w:hAnsi="Courier New"/>
      </w:rPr>
    </w:lvl>
    <w:lvl w:ilvl="5">
      <w:start w:val="1"/>
      <w:numFmt w:val="bullet"/>
      <w:lvlText w:val=""/>
      <w:lvlJc w:val="left"/>
      <w:pPr>
        <w:ind w:left="5102" w:hanging="360"/>
      </w:pPr>
      <w:rPr>
        <w:rFonts w:ascii="Wingdings" w:hAnsi="Wingdings"/>
      </w:rPr>
    </w:lvl>
    <w:lvl w:ilvl="6">
      <w:start w:val="1"/>
      <w:numFmt w:val="bullet"/>
      <w:lvlText w:val=""/>
      <w:lvlJc w:val="left"/>
      <w:pPr>
        <w:ind w:left="5822" w:hanging="360"/>
      </w:pPr>
      <w:rPr>
        <w:rFonts w:ascii="Symbol" w:hAnsi="Symbol"/>
      </w:rPr>
    </w:lvl>
    <w:lvl w:ilvl="7">
      <w:start w:val="1"/>
      <w:numFmt w:val="bullet"/>
      <w:lvlText w:val="o"/>
      <w:lvlJc w:val="left"/>
      <w:pPr>
        <w:ind w:left="6542" w:hanging="360"/>
      </w:pPr>
      <w:rPr>
        <w:rFonts w:ascii="Courier New" w:hAnsi="Courier New"/>
      </w:rPr>
    </w:lvl>
    <w:lvl w:ilvl="8">
      <w:start w:val="1"/>
      <w:numFmt w:val="bullet"/>
      <w:lvlText w:val=""/>
      <w:lvlJc w:val="left"/>
      <w:pPr>
        <w:ind w:left="7262" w:hanging="360"/>
      </w:pPr>
      <w:rPr>
        <w:rFonts w:ascii="Wingdings" w:hAnsi="Wingdings"/>
      </w:rPr>
    </w:lvl>
  </w:abstractNum>
  <w:abstractNum w:abstractNumId="19" w15:restartNumberingAfterBreak="0">
    <w:nsid w:val="321F7EA9"/>
    <w:multiLevelType w:val="multilevel"/>
    <w:tmpl w:val="E72407B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0" w15:restartNumberingAfterBreak="0">
    <w:nsid w:val="34544403"/>
    <w:multiLevelType w:val="multilevel"/>
    <w:tmpl w:val="DFAED072"/>
    <w:lvl w:ilvl="0">
      <w:start w:val="1"/>
      <w:numFmt w:val="bullet"/>
      <w:lvlText w:val=""/>
      <w:lvlJc w:val="left"/>
      <w:pPr>
        <w:ind w:left="782" w:hanging="360"/>
      </w:pPr>
      <w:rPr>
        <w:rFonts w:ascii="Symbol" w:hAnsi="Symbol"/>
        <w:color w:val="000000"/>
      </w:rPr>
    </w:lvl>
    <w:lvl w:ilvl="1">
      <w:start w:val="1"/>
      <w:numFmt w:val="bullet"/>
      <w:lvlText w:val="o"/>
      <w:lvlJc w:val="left"/>
      <w:pPr>
        <w:ind w:left="1502" w:hanging="360"/>
      </w:pPr>
      <w:rPr>
        <w:rFonts w:ascii="Courier New" w:hAnsi="Courier New"/>
      </w:rPr>
    </w:lvl>
    <w:lvl w:ilvl="2">
      <w:start w:val="1"/>
      <w:numFmt w:val="bullet"/>
      <w:lvlText w:val=""/>
      <w:lvlJc w:val="left"/>
      <w:pPr>
        <w:ind w:left="2222" w:hanging="360"/>
      </w:pPr>
      <w:rPr>
        <w:rFonts w:ascii="Wingdings" w:hAnsi="Wingdings"/>
      </w:rPr>
    </w:lvl>
    <w:lvl w:ilvl="3">
      <w:start w:val="1"/>
      <w:numFmt w:val="bullet"/>
      <w:lvlText w:val=""/>
      <w:lvlJc w:val="left"/>
      <w:pPr>
        <w:ind w:left="2942" w:hanging="360"/>
      </w:pPr>
      <w:rPr>
        <w:rFonts w:ascii="Symbol" w:hAnsi="Symbol"/>
      </w:rPr>
    </w:lvl>
    <w:lvl w:ilvl="4">
      <w:start w:val="1"/>
      <w:numFmt w:val="bullet"/>
      <w:lvlText w:val="o"/>
      <w:lvlJc w:val="left"/>
      <w:pPr>
        <w:ind w:left="3662" w:hanging="360"/>
      </w:pPr>
      <w:rPr>
        <w:rFonts w:ascii="Courier New" w:hAnsi="Courier New"/>
      </w:rPr>
    </w:lvl>
    <w:lvl w:ilvl="5">
      <w:start w:val="1"/>
      <w:numFmt w:val="bullet"/>
      <w:lvlText w:val=""/>
      <w:lvlJc w:val="left"/>
      <w:pPr>
        <w:ind w:left="4382" w:hanging="360"/>
      </w:pPr>
      <w:rPr>
        <w:rFonts w:ascii="Wingdings" w:hAnsi="Wingdings"/>
      </w:rPr>
    </w:lvl>
    <w:lvl w:ilvl="6">
      <w:start w:val="1"/>
      <w:numFmt w:val="bullet"/>
      <w:lvlText w:val=""/>
      <w:lvlJc w:val="left"/>
      <w:pPr>
        <w:ind w:left="5102" w:hanging="360"/>
      </w:pPr>
      <w:rPr>
        <w:rFonts w:ascii="Symbol" w:hAnsi="Symbol"/>
      </w:rPr>
    </w:lvl>
    <w:lvl w:ilvl="7">
      <w:start w:val="1"/>
      <w:numFmt w:val="bullet"/>
      <w:lvlText w:val="o"/>
      <w:lvlJc w:val="left"/>
      <w:pPr>
        <w:ind w:left="5822" w:hanging="360"/>
      </w:pPr>
      <w:rPr>
        <w:rFonts w:ascii="Courier New" w:hAnsi="Courier New"/>
      </w:rPr>
    </w:lvl>
    <w:lvl w:ilvl="8">
      <w:start w:val="1"/>
      <w:numFmt w:val="bullet"/>
      <w:lvlText w:val=""/>
      <w:lvlJc w:val="left"/>
      <w:pPr>
        <w:ind w:left="6542" w:hanging="360"/>
      </w:pPr>
      <w:rPr>
        <w:rFonts w:ascii="Wingdings" w:hAnsi="Wingdings"/>
      </w:rPr>
    </w:lvl>
  </w:abstractNum>
  <w:abstractNum w:abstractNumId="21" w15:restartNumberingAfterBreak="0">
    <w:nsid w:val="35262D41"/>
    <w:multiLevelType w:val="multilevel"/>
    <w:tmpl w:val="AA483C5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2" w15:restartNumberingAfterBreak="0">
    <w:nsid w:val="35652C27"/>
    <w:multiLevelType w:val="multilevel"/>
    <w:tmpl w:val="0CD23A40"/>
    <w:lvl w:ilvl="0">
      <w:start w:val="1"/>
      <w:numFmt w:val="bullet"/>
      <w:lvlText w:val=""/>
      <w:lvlJc w:val="left"/>
      <w:pPr>
        <w:ind w:left="720" w:hanging="360"/>
      </w:pPr>
      <w:rPr>
        <w:rFonts w:ascii="Symbol" w:hAnsi="Symbol"/>
        <w:color w:val="00000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3" w15:restartNumberingAfterBreak="0">
    <w:nsid w:val="3E0625C3"/>
    <w:multiLevelType w:val="multilevel"/>
    <w:tmpl w:val="E58A6EE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3E0B6BF5"/>
    <w:multiLevelType w:val="multilevel"/>
    <w:tmpl w:val="C6DEA576"/>
    <w:lvl w:ilvl="0">
      <w:start w:val="1"/>
      <w:numFmt w:val="bullet"/>
      <w:lvlText w:val=""/>
      <w:lvlJc w:val="left"/>
      <w:pPr>
        <w:ind w:left="294" w:hanging="360"/>
      </w:pPr>
      <w:rPr>
        <w:rFonts w:ascii="Symbol" w:hAnsi="Symbol"/>
        <w:color w:val="00000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5" w15:restartNumberingAfterBreak="0">
    <w:nsid w:val="3FA72BAA"/>
    <w:multiLevelType w:val="multilevel"/>
    <w:tmpl w:val="AECE81A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6" w15:restartNumberingAfterBreak="0">
    <w:nsid w:val="41EC419B"/>
    <w:multiLevelType w:val="multilevel"/>
    <w:tmpl w:val="0C709E3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7" w15:restartNumberingAfterBreak="0">
    <w:nsid w:val="453E2988"/>
    <w:multiLevelType w:val="multilevel"/>
    <w:tmpl w:val="DC8EBA6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8" w15:restartNumberingAfterBreak="0">
    <w:nsid w:val="45D53E3A"/>
    <w:multiLevelType w:val="multilevel"/>
    <w:tmpl w:val="EF9E396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9" w15:restartNumberingAfterBreak="0">
    <w:nsid w:val="47815069"/>
    <w:multiLevelType w:val="multilevel"/>
    <w:tmpl w:val="036EE72A"/>
    <w:lvl w:ilvl="0">
      <w:start w:val="1"/>
      <w:numFmt w:val="bullet"/>
      <w:lvlText w:val=""/>
      <w:lvlJc w:val="left"/>
      <w:pPr>
        <w:ind w:left="12" w:hanging="360"/>
      </w:pPr>
      <w:rPr>
        <w:rFonts w:ascii="Symbol" w:hAnsi="Symbol"/>
      </w:rPr>
    </w:lvl>
    <w:lvl w:ilvl="1">
      <w:start w:val="1"/>
      <w:numFmt w:val="bullet"/>
      <w:lvlText w:val="o"/>
      <w:lvlJc w:val="left"/>
      <w:pPr>
        <w:ind w:left="732" w:hanging="360"/>
      </w:pPr>
      <w:rPr>
        <w:rFonts w:ascii="Courier New" w:hAnsi="Courier New"/>
      </w:rPr>
    </w:lvl>
    <w:lvl w:ilvl="2">
      <w:start w:val="1"/>
      <w:numFmt w:val="bullet"/>
      <w:lvlText w:val=""/>
      <w:lvlJc w:val="left"/>
      <w:pPr>
        <w:ind w:left="1452" w:hanging="360"/>
      </w:pPr>
      <w:rPr>
        <w:rFonts w:ascii="Wingdings" w:hAnsi="Wingdings"/>
      </w:rPr>
    </w:lvl>
    <w:lvl w:ilvl="3">
      <w:start w:val="1"/>
      <w:numFmt w:val="bullet"/>
      <w:lvlText w:val=""/>
      <w:lvlJc w:val="left"/>
      <w:pPr>
        <w:ind w:left="2172" w:hanging="360"/>
      </w:pPr>
      <w:rPr>
        <w:rFonts w:ascii="Symbol" w:hAnsi="Symbol"/>
      </w:rPr>
    </w:lvl>
    <w:lvl w:ilvl="4">
      <w:start w:val="1"/>
      <w:numFmt w:val="bullet"/>
      <w:lvlText w:val="o"/>
      <w:lvlJc w:val="left"/>
      <w:pPr>
        <w:ind w:left="2892" w:hanging="360"/>
      </w:pPr>
      <w:rPr>
        <w:rFonts w:ascii="Courier New" w:hAnsi="Courier New"/>
      </w:rPr>
    </w:lvl>
    <w:lvl w:ilvl="5">
      <w:start w:val="1"/>
      <w:numFmt w:val="bullet"/>
      <w:lvlText w:val=""/>
      <w:lvlJc w:val="left"/>
      <w:pPr>
        <w:ind w:left="3612" w:hanging="360"/>
      </w:pPr>
      <w:rPr>
        <w:rFonts w:ascii="Wingdings" w:hAnsi="Wingdings"/>
      </w:rPr>
    </w:lvl>
    <w:lvl w:ilvl="6">
      <w:start w:val="1"/>
      <w:numFmt w:val="bullet"/>
      <w:lvlText w:val=""/>
      <w:lvlJc w:val="left"/>
      <w:pPr>
        <w:ind w:left="4332" w:hanging="360"/>
      </w:pPr>
      <w:rPr>
        <w:rFonts w:ascii="Symbol" w:hAnsi="Symbol"/>
      </w:rPr>
    </w:lvl>
    <w:lvl w:ilvl="7">
      <w:start w:val="1"/>
      <w:numFmt w:val="bullet"/>
      <w:lvlText w:val="o"/>
      <w:lvlJc w:val="left"/>
      <w:pPr>
        <w:ind w:left="5052" w:hanging="360"/>
      </w:pPr>
      <w:rPr>
        <w:rFonts w:ascii="Courier New" w:hAnsi="Courier New"/>
      </w:rPr>
    </w:lvl>
    <w:lvl w:ilvl="8">
      <w:start w:val="1"/>
      <w:numFmt w:val="bullet"/>
      <w:lvlText w:val=""/>
      <w:lvlJc w:val="left"/>
      <w:pPr>
        <w:ind w:left="5772" w:hanging="360"/>
      </w:pPr>
      <w:rPr>
        <w:rFonts w:ascii="Wingdings" w:hAnsi="Wingdings"/>
      </w:rPr>
    </w:lvl>
  </w:abstractNum>
  <w:abstractNum w:abstractNumId="30" w15:restartNumberingAfterBreak="0">
    <w:nsid w:val="4CE64E40"/>
    <w:multiLevelType w:val="multilevel"/>
    <w:tmpl w:val="4A005DC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1" w15:restartNumberingAfterBreak="0">
    <w:nsid w:val="4D951D3F"/>
    <w:multiLevelType w:val="multilevel"/>
    <w:tmpl w:val="4D5AD57A"/>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2" w15:restartNumberingAfterBreak="0">
    <w:nsid w:val="4FDF61DD"/>
    <w:multiLevelType w:val="multilevel"/>
    <w:tmpl w:val="7396C8A8"/>
    <w:lvl w:ilvl="0">
      <w:start w:val="1"/>
      <w:numFmt w:val="bullet"/>
      <w:lvlText w:val=""/>
      <w:lvlJc w:val="left"/>
      <w:pPr>
        <w:ind w:left="356" w:hanging="360"/>
      </w:pPr>
      <w:rPr>
        <w:rFonts w:ascii="Symbol" w:hAnsi="Symbol"/>
        <w:color w:val="000000"/>
      </w:rPr>
    </w:lvl>
    <w:lvl w:ilvl="1">
      <w:start w:val="1"/>
      <w:numFmt w:val="bullet"/>
      <w:lvlText w:val="o"/>
      <w:lvlJc w:val="left"/>
      <w:pPr>
        <w:ind w:left="1502" w:hanging="360"/>
      </w:pPr>
      <w:rPr>
        <w:rFonts w:ascii="Courier New" w:hAnsi="Courier New"/>
      </w:rPr>
    </w:lvl>
    <w:lvl w:ilvl="2">
      <w:start w:val="1"/>
      <w:numFmt w:val="bullet"/>
      <w:lvlText w:val=""/>
      <w:lvlJc w:val="left"/>
      <w:pPr>
        <w:ind w:left="2222" w:hanging="360"/>
      </w:pPr>
      <w:rPr>
        <w:rFonts w:ascii="Wingdings" w:hAnsi="Wingdings"/>
      </w:rPr>
    </w:lvl>
    <w:lvl w:ilvl="3">
      <w:start w:val="1"/>
      <w:numFmt w:val="bullet"/>
      <w:lvlText w:val=""/>
      <w:lvlJc w:val="left"/>
      <w:pPr>
        <w:ind w:left="2942" w:hanging="360"/>
      </w:pPr>
      <w:rPr>
        <w:rFonts w:ascii="Symbol" w:hAnsi="Symbol"/>
      </w:rPr>
    </w:lvl>
    <w:lvl w:ilvl="4">
      <w:start w:val="1"/>
      <w:numFmt w:val="bullet"/>
      <w:lvlText w:val="o"/>
      <w:lvlJc w:val="left"/>
      <w:pPr>
        <w:ind w:left="3662" w:hanging="360"/>
      </w:pPr>
      <w:rPr>
        <w:rFonts w:ascii="Courier New" w:hAnsi="Courier New"/>
      </w:rPr>
    </w:lvl>
    <w:lvl w:ilvl="5">
      <w:start w:val="1"/>
      <w:numFmt w:val="bullet"/>
      <w:lvlText w:val=""/>
      <w:lvlJc w:val="left"/>
      <w:pPr>
        <w:ind w:left="4382" w:hanging="360"/>
      </w:pPr>
      <w:rPr>
        <w:rFonts w:ascii="Wingdings" w:hAnsi="Wingdings"/>
      </w:rPr>
    </w:lvl>
    <w:lvl w:ilvl="6">
      <w:start w:val="1"/>
      <w:numFmt w:val="bullet"/>
      <w:lvlText w:val=""/>
      <w:lvlJc w:val="left"/>
      <w:pPr>
        <w:ind w:left="5102" w:hanging="360"/>
      </w:pPr>
      <w:rPr>
        <w:rFonts w:ascii="Symbol" w:hAnsi="Symbol"/>
      </w:rPr>
    </w:lvl>
    <w:lvl w:ilvl="7">
      <w:start w:val="1"/>
      <w:numFmt w:val="bullet"/>
      <w:lvlText w:val="o"/>
      <w:lvlJc w:val="left"/>
      <w:pPr>
        <w:ind w:left="5822" w:hanging="360"/>
      </w:pPr>
      <w:rPr>
        <w:rFonts w:ascii="Courier New" w:hAnsi="Courier New"/>
      </w:rPr>
    </w:lvl>
    <w:lvl w:ilvl="8">
      <w:start w:val="1"/>
      <w:numFmt w:val="bullet"/>
      <w:lvlText w:val=""/>
      <w:lvlJc w:val="left"/>
      <w:pPr>
        <w:ind w:left="6542" w:hanging="360"/>
      </w:pPr>
      <w:rPr>
        <w:rFonts w:ascii="Wingdings" w:hAnsi="Wingdings"/>
      </w:rPr>
    </w:lvl>
  </w:abstractNum>
  <w:abstractNum w:abstractNumId="33" w15:restartNumberingAfterBreak="0">
    <w:nsid w:val="51502D64"/>
    <w:multiLevelType w:val="multilevel"/>
    <w:tmpl w:val="1B54ECBE"/>
    <w:lvl w:ilvl="0">
      <w:start w:val="1"/>
      <w:numFmt w:val="bullet"/>
      <w:lvlText w:val=""/>
      <w:lvlJc w:val="left"/>
      <w:pPr>
        <w:ind w:left="720" w:hanging="360"/>
      </w:pPr>
      <w:rPr>
        <w:rFonts w:ascii="Symbol" w:hAnsi="Symbol"/>
        <w:color w:val="00000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4" w15:restartNumberingAfterBreak="0">
    <w:nsid w:val="517D7B13"/>
    <w:multiLevelType w:val="multilevel"/>
    <w:tmpl w:val="9044FF4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5" w15:restartNumberingAfterBreak="0">
    <w:nsid w:val="569612D8"/>
    <w:multiLevelType w:val="multilevel"/>
    <w:tmpl w:val="3BF20920"/>
    <w:lvl w:ilvl="0">
      <w:start w:val="5"/>
      <w:numFmt w:val="decimal"/>
      <w:lvlText w:val="%1."/>
      <w:lvlJc w:val="left"/>
      <w:pPr>
        <w:ind w:left="612" w:hanging="612"/>
      </w:pPr>
    </w:lvl>
    <w:lvl w:ilvl="1">
      <w:start w:val="2"/>
      <w:numFmt w:val="decimal"/>
      <w:lvlText w:val="%1.%2."/>
      <w:lvlJc w:val="left"/>
      <w:pPr>
        <w:ind w:left="90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36" w15:restartNumberingAfterBreak="0">
    <w:nsid w:val="57691829"/>
    <w:multiLevelType w:val="multilevel"/>
    <w:tmpl w:val="030AFB6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7" w15:restartNumberingAfterBreak="0">
    <w:nsid w:val="5E733959"/>
    <w:multiLevelType w:val="multilevel"/>
    <w:tmpl w:val="A8540AE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8" w15:restartNumberingAfterBreak="0">
    <w:nsid w:val="617A62D7"/>
    <w:multiLevelType w:val="multilevel"/>
    <w:tmpl w:val="549C63A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9" w15:restartNumberingAfterBreak="0">
    <w:nsid w:val="6593057C"/>
    <w:multiLevelType w:val="multilevel"/>
    <w:tmpl w:val="306ACDA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0" w15:restartNumberingAfterBreak="0">
    <w:nsid w:val="67451867"/>
    <w:multiLevelType w:val="multilevel"/>
    <w:tmpl w:val="BDA88194"/>
    <w:lvl w:ilvl="0">
      <w:start w:val="1"/>
      <w:numFmt w:val="bullet"/>
      <w:lvlText w:val=""/>
      <w:lvlJc w:val="left"/>
      <w:pPr>
        <w:ind w:left="294" w:hanging="360"/>
      </w:pPr>
      <w:rPr>
        <w:rFonts w:ascii="Symbol" w:hAnsi="Symbol"/>
      </w:rPr>
    </w:lvl>
    <w:lvl w:ilvl="1">
      <w:start w:val="1"/>
      <w:numFmt w:val="bullet"/>
      <w:lvlText w:val="o"/>
      <w:lvlJc w:val="left"/>
      <w:pPr>
        <w:ind w:left="1014" w:hanging="360"/>
      </w:pPr>
      <w:rPr>
        <w:rFonts w:ascii="Courier New" w:hAnsi="Courier New"/>
      </w:rPr>
    </w:lvl>
    <w:lvl w:ilvl="2">
      <w:start w:val="1"/>
      <w:numFmt w:val="bullet"/>
      <w:lvlText w:val=""/>
      <w:lvlJc w:val="left"/>
      <w:pPr>
        <w:ind w:left="1734" w:hanging="360"/>
      </w:pPr>
      <w:rPr>
        <w:rFonts w:ascii="Wingdings" w:hAnsi="Wingdings"/>
      </w:rPr>
    </w:lvl>
    <w:lvl w:ilvl="3">
      <w:start w:val="1"/>
      <w:numFmt w:val="bullet"/>
      <w:lvlText w:val=""/>
      <w:lvlJc w:val="left"/>
      <w:pPr>
        <w:ind w:left="2454" w:hanging="360"/>
      </w:pPr>
      <w:rPr>
        <w:rFonts w:ascii="Symbol" w:hAnsi="Symbol"/>
      </w:rPr>
    </w:lvl>
    <w:lvl w:ilvl="4">
      <w:start w:val="1"/>
      <w:numFmt w:val="bullet"/>
      <w:lvlText w:val="o"/>
      <w:lvlJc w:val="left"/>
      <w:pPr>
        <w:ind w:left="3174" w:hanging="360"/>
      </w:pPr>
      <w:rPr>
        <w:rFonts w:ascii="Courier New" w:hAnsi="Courier New"/>
      </w:rPr>
    </w:lvl>
    <w:lvl w:ilvl="5">
      <w:start w:val="1"/>
      <w:numFmt w:val="bullet"/>
      <w:lvlText w:val=""/>
      <w:lvlJc w:val="left"/>
      <w:pPr>
        <w:ind w:left="3894" w:hanging="360"/>
      </w:pPr>
      <w:rPr>
        <w:rFonts w:ascii="Wingdings" w:hAnsi="Wingdings"/>
      </w:rPr>
    </w:lvl>
    <w:lvl w:ilvl="6">
      <w:start w:val="1"/>
      <w:numFmt w:val="bullet"/>
      <w:lvlText w:val=""/>
      <w:lvlJc w:val="left"/>
      <w:pPr>
        <w:ind w:left="4614" w:hanging="360"/>
      </w:pPr>
      <w:rPr>
        <w:rFonts w:ascii="Symbol" w:hAnsi="Symbol"/>
      </w:rPr>
    </w:lvl>
    <w:lvl w:ilvl="7">
      <w:start w:val="1"/>
      <w:numFmt w:val="bullet"/>
      <w:lvlText w:val="o"/>
      <w:lvlJc w:val="left"/>
      <w:pPr>
        <w:ind w:left="5334" w:hanging="360"/>
      </w:pPr>
      <w:rPr>
        <w:rFonts w:ascii="Courier New" w:hAnsi="Courier New"/>
      </w:rPr>
    </w:lvl>
    <w:lvl w:ilvl="8">
      <w:start w:val="1"/>
      <w:numFmt w:val="bullet"/>
      <w:lvlText w:val=""/>
      <w:lvlJc w:val="left"/>
      <w:pPr>
        <w:ind w:left="6054" w:hanging="360"/>
      </w:pPr>
      <w:rPr>
        <w:rFonts w:ascii="Wingdings" w:hAnsi="Wingdings"/>
      </w:rPr>
    </w:lvl>
  </w:abstractNum>
  <w:abstractNum w:abstractNumId="41" w15:restartNumberingAfterBreak="0">
    <w:nsid w:val="675750C1"/>
    <w:multiLevelType w:val="multilevel"/>
    <w:tmpl w:val="652E1BBE"/>
    <w:lvl w:ilvl="0">
      <w:start w:val="1"/>
      <w:numFmt w:val="bullet"/>
      <w:lvlText w:val=""/>
      <w:lvlJc w:val="left"/>
      <w:pPr>
        <w:ind w:left="294" w:hanging="360"/>
      </w:pPr>
      <w:rPr>
        <w:rFonts w:ascii="Symbol" w:hAnsi="Symbol"/>
      </w:rPr>
    </w:lvl>
    <w:lvl w:ilvl="1">
      <w:start w:val="1"/>
      <w:numFmt w:val="bullet"/>
      <w:lvlText w:val="o"/>
      <w:lvlJc w:val="left"/>
      <w:pPr>
        <w:ind w:left="1014" w:hanging="360"/>
      </w:pPr>
      <w:rPr>
        <w:rFonts w:ascii="Courier New" w:hAnsi="Courier New"/>
      </w:rPr>
    </w:lvl>
    <w:lvl w:ilvl="2">
      <w:start w:val="1"/>
      <w:numFmt w:val="bullet"/>
      <w:lvlText w:val=""/>
      <w:lvlJc w:val="left"/>
      <w:pPr>
        <w:ind w:left="1734" w:hanging="360"/>
      </w:pPr>
      <w:rPr>
        <w:rFonts w:ascii="Wingdings" w:hAnsi="Wingdings"/>
      </w:rPr>
    </w:lvl>
    <w:lvl w:ilvl="3">
      <w:start w:val="1"/>
      <w:numFmt w:val="bullet"/>
      <w:lvlText w:val=""/>
      <w:lvlJc w:val="left"/>
      <w:pPr>
        <w:ind w:left="2454" w:hanging="360"/>
      </w:pPr>
      <w:rPr>
        <w:rFonts w:ascii="Symbol" w:hAnsi="Symbol"/>
      </w:rPr>
    </w:lvl>
    <w:lvl w:ilvl="4">
      <w:start w:val="1"/>
      <w:numFmt w:val="bullet"/>
      <w:lvlText w:val="o"/>
      <w:lvlJc w:val="left"/>
      <w:pPr>
        <w:ind w:left="3174" w:hanging="360"/>
      </w:pPr>
      <w:rPr>
        <w:rFonts w:ascii="Courier New" w:hAnsi="Courier New"/>
      </w:rPr>
    </w:lvl>
    <w:lvl w:ilvl="5">
      <w:start w:val="1"/>
      <w:numFmt w:val="bullet"/>
      <w:lvlText w:val=""/>
      <w:lvlJc w:val="left"/>
      <w:pPr>
        <w:ind w:left="3894" w:hanging="360"/>
      </w:pPr>
      <w:rPr>
        <w:rFonts w:ascii="Wingdings" w:hAnsi="Wingdings"/>
      </w:rPr>
    </w:lvl>
    <w:lvl w:ilvl="6">
      <w:start w:val="1"/>
      <w:numFmt w:val="bullet"/>
      <w:lvlText w:val=""/>
      <w:lvlJc w:val="left"/>
      <w:pPr>
        <w:ind w:left="4614" w:hanging="360"/>
      </w:pPr>
      <w:rPr>
        <w:rFonts w:ascii="Symbol" w:hAnsi="Symbol"/>
      </w:rPr>
    </w:lvl>
    <w:lvl w:ilvl="7">
      <w:start w:val="1"/>
      <w:numFmt w:val="bullet"/>
      <w:lvlText w:val="o"/>
      <w:lvlJc w:val="left"/>
      <w:pPr>
        <w:ind w:left="5334" w:hanging="360"/>
      </w:pPr>
      <w:rPr>
        <w:rFonts w:ascii="Courier New" w:hAnsi="Courier New"/>
      </w:rPr>
    </w:lvl>
    <w:lvl w:ilvl="8">
      <w:start w:val="1"/>
      <w:numFmt w:val="bullet"/>
      <w:lvlText w:val=""/>
      <w:lvlJc w:val="left"/>
      <w:pPr>
        <w:ind w:left="6054" w:hanging="360"/>
      </w:pPr>
      <w:rPr>
        <w:rFonts w:ascii="Wingdings" w:hAnsi="Wingdings"/>
      </w:rPr>
    </w:lvl>
  </w:abstractNum>
  <w:abstractNum w:abstractNumId="42" w15:restartNumberingAfterBreak="0">
    <w:nsid w:val="68862B93"/>
    <w:multiLevelType w:val="multilevel"/>
    <w:tmpl w:val="C084198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3" w15:restartNumberingAfterBreak="0">
    <w:nsid w:val="6A0E65AF"/>
    <w:multiLevelType w:val="multilevel"/>
    <w:tmpl w:val="77E030D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4" w15:restartNumberingAfterBreak="0">
    <w:nsid w:val="6B9E6AC2"/>
    <w:multiLevelType w:val="multilevel"/>
    <w:tmpl w:val="E9F6476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5" w15:restartNumberingAfterBreak="0">
    <w:nsid w:val="701826E9"/>
    <w:multiLevelType w:val="multilevel"/>
    <w:tmpl w:val="007E4DAC"/>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6" w15:restartNumberingAfterBreak="0">
    <w:nsid w:val="743901BC"/>
    <w:multiLevelType w:val="multilevel"/>
    <w:tmpl w:val="65D407C8"/>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47" w15:restartNumberingAfterBreak="0">
    <w:nsid w:val="778A3C13"/>
    <w:multiLevelType w:val="multilevel"/>
    <w:tmpl w:val="EF3C758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8" w15:restartNumberingAfterBreak="0">
    <w:nsid w:val="79C25EFC"/>
    <w:multiLevelType w:val="multilevel"/>
    <w:tmpl w:val="7D2ED26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9" w15:restartNumberingAfterBreak="0">
    <w:nsid w:val="7ABE1DF2"/>
    <w:multiLevelType w:val="multilevel"/>
    <w:tmpl w:val="EF66D7F4"/>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50" w15:restartNumberingAfterBreak="0">
    <w:nsid w:val="7F424E34"/>
    <w:multiLevelType w:val="multilevel"/>
    <w:tmpl w:val="C9D44BF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16cid:durableId="1319380463">
    <w:abstractNumId w:val="23"/>
  </w:num>
  <w:num w:numId="2" w16cid:durableId="47656083">
    <w:abstractNumId w:val="2"/>
  </w:num>
  <w:num w:numId="3" w16cid:durableId="1153107086">
    <w:abstractNumId w:val="49"/>
  </w:num>
  <w:num w:numId="4" w16cid:durableId="114178990">
    <w:abstractNumId w:val="48"/>
  </w:num>
  <w:num w:numId="5" w16cid:durableId="1733196162">
    <w:abstractNumId w:val="47"/>
  </w:num>
  <w:num w:numId="6" w16cid:durableId="1997147113">
    <w:abstractNumId w:val="15"/>
  </w:num>
  <w:num w:numId="7" w16cid:durableId="932398733">
    <w:abstractNumId w:val="13"/>
  </w:num>
  <w:num w:numId="8" w16cid:durableId="1000431102">
    <w:abstractNumId w:val="35"/>
  </w:num>
  <w:num w:numId="9" w16cid:durableId="1970355006">
    <w:abstractNumId w:val="37"/>
  </w:num>
  <w:num w:numId="10" w16cid:durableId="15157817">
    <w:abstractNumId w:val="0"/>
  </w:num>
  <w:num w:numId="11" w16cid:durableId="1862473722">
    <w:abstractNumId w:val="33"/>
  </w:num>
  <w:num w:numId="12" w16cid:durableId="331641250">
    <w:abstractNumId w:val="4"/>
  </w:num>
  <w:num w:numId="13" w16cid:durableId="2143304638">
    <w:abstractNumId w:val="34"/>
  </w:num>
  <w:num w:numId="14" w16cid:durableId="2137872241">
    <w:abstractNumId w:val="18"/>
  </w:num>
  <w:num w:numId="15" w16cid:durableId="1207598363">
    <w:abstractNumId w:val="46"/>
  </w:num>
  <w:num w:numId="16" w16cid:durableId="425541752">
    <w:abstractNumId w:val="30"/>
  </w:num>
  <w:num w:numId="17" w16cid:durableId="573390579">
    <w:abstractNumId w:val="9"/>
  </w:num>
  <w:num w:numId="18" w16cid:durableId="50664003">
    <w:abstractNumId w:val="3"/>
  </w:num>
  <w:num w:numId="19" w16cid:durableId="1559433281">
    <w:abstractNumId w:val="27"/>
  </w:num>
  <w:num w:numId="20" w16cid:durableId="456874268">
    <w:abstractNumId w:val="17"/>
  </w:num>
  <w:num w:numId="21" w16cid:durableId="555894741">
    <w:abstractNumId w:val="8"/>
  </w:num>
  <w:num w:numId="22" w16cid:durableId="1281567376">
    <w:abstractNumId w:val="12"/>
  </w:num>
  <w:num w:numId="23" w16cid:durableId="2063210201">
    <w:abstractNumId w:val="36"/>
  </w:num>
  <w:num w:numId="24" w16cid:durableId="1579705622">
    <w:abstractNumId w:val="43"/>
  </w:num>
  <w:num w:numId="25" w16cid:durableId="1392923538">
    <w:abstractNumId w:val="50"/>
  </w:num>
  <w:num w:numId="26" w16cid:durableId="1437410452">
    <w:abstractNumId w:val="11"/>
  </w:num>
  <w:num w:numId="27" w16cid:durableId="1087386103">
    <w:abstractNumId w:val="45"/>
  </w:num>
  <w:num w:numId="28" w16cid:durableId="318582244">
    <w:abstractNumId w:val="16"/>
  </w:num>
  <w:num w:numId="29" w16cid:durableId="425273015">
    <w:abstractNumId w:val="31"/>
  </w:num>
  <w:num w:numId="30" w16cid:durableId="388892431">
    <w:abstractNumId w:val="5"/>
  </w:num>
  <w:num w:numId="31" w16cid:durableId="391735989">
    <w:abstractNumId w:val="42"/>
  </w:num>
  <w:num w:numId="32" w16cid:durableId="851333771">
    <w:abstractNumId w:val="38"/>
  </w:num>
  <w:num w:numId="33" w16cid:durableId="252978544">
    <w:abstractNumId w:val="39"/>
  </w:num>
  <w:num w:numId="34" w16cid:durableId="1265377690">
    <w:abstractNumId w:val="29"/>
  </w:num>
  <w:num w:numId="35" w16cid:durableId="469633412">
    <w:abstractNumId w:val="41"/>
  </w:num>
  <w:num w:numId="36" w16cid:durableId="540284892">
    <w:abstractNumId w:val="40"/>
  </w:num>
  <w:num w:numId="37" w16cid:durableId="1320621242">
    <w:abstractNumId w:val="25"/>
  </w:num>
  <w:num w:numId="38" w16cid:durableId="1310472936">
    <w:abstractNumId w:val="10"/>
  </w:num>
  <w:num w:numId="39" w16cid:durableId="815953138">
    <w:abstractNumId w:val="19"/>
  </w:num>
  <w:num w:numId="40" w16cid:durableId="1042704847">
    <w:abstractNumId w:val="21"/>
  </w:num>
  <w:num w:numId="41" w16cid:durableId="1421826521">
    <w:abstractNumId w:val="28"/>
  </w:num>
  <w:num w:numId="42" w16cid:durableId="1689404460">
    <w:abstractNumId w:val="26"/>
  </w:num>
  <w:num w:numId="43" w16cid:durableId="408162410">
    <w:abstractNumId w:val="14"/>
  </w:num>
  <w:num w:numId="44" w16cid:durableId="334454136">
    <w:abstractNumId w:val="7"/>
  </w:num>
  <w:num w:numId="45" w16cid:durableId="1489051420">
    <w:abstractNumId w:val="24"/>
  </w:num>
  <w:num w:numId="46" w16cid:durableId="1240821277">
    <w:abstractNumId w:val="32"/>
  </w:num>
  <w:num w:numId="47" w16cid:durableId="367412345">
    <w:abstractNumId w:val="1"/>
  </w:num>
  <w:num w:numId="48" w16cid:durableId="1847137644">
    <w:abstractNumId w:val="20"/>
  </w:num>
  <w:num w:numId="49" w16cid:durableId="766656162">
    <w:abstractNumId w:val="22"/>
  </w:num>
  <w:num w:numId="50" w16cid:durableId="1568415164">
    <w:abstractNumId w:val="44"/>
  </w:num>
  <w:num w:numId="51" w16cid:durableId="1857234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9DA"/>
    <w:rsid w:val="005109DA"/>
    <w:rsid w:val="00785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E7E7"/>
  <w15:docId w15:val="{91F3F350-66DC-45EB-9D2C-C3CA4636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a3">
    <w:name w:val="List Paragraph"/>
    <w:basedOn w:val="a"/>
    <w:link w:val="a4"/>
    <w:pPr>
      <w:ind w:left="720"/>
      <w:contextualSpacing/>
    </w:pPr>
  </w:style>
  <w:style w:type="character" w:customStyle="1" w:styleId="a4">
    <w:name w:val="Абзац списка Знак"/>
    <w:basedOn w:val="1"/>
    <w:link w:val="a3"/>
  </w:style>
  <w:style w:type="paragraph" w:styleId="a5">
    <w:name w:val="header"/>
    <w:basedOn w:val="a"/>
    <w:link w:val="a6"/>
    <w:pPr>
      <w:tabs>
        <w:tab w:val="center" w:pos="4677"/>
        <w:tab w:val="right" w:pos="9355"/>
      </w:tabs>
      <w:spacing w:after="0" w:line="240" w:lineRule="auto"/>
    </w:pPr>
  </w:style>
  <w:style w:type="character" w:customStyle="1" w:styleId="a6">
    <w:name w:val="Верхний колонтитул Знак"/>
    <w:basedOn w:val="1"/>
    <w:link w:val="a5"/>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4">
    <w:name w:val="Обычный1"/>
    <w:link w:val="15"/>
  </w:style>
  <w:style w:type="character" w:customStyle="1" w:styleId="15">
    <w:name w:val="Обычный1"/>
    <w:link w:val="14"/>
  </w:style>
  <w:style w:type="paragraph" w:customStyle="1" w:styleId="16">
    <w:name w:val="Гиперссылка1"/>
    <w:link w:val="a7"/>
    <w:rPr>
      <w:color w:val="0000FF"/>
      <w:u w:val="single"/>
    </w:rPr>
  </w:style>
  <w:style w:type="character" w:styleId="a7">
    <w:name w:val="Hyperlink"/>
    <w:link w:val="16"/>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sz w:val="20"/>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9">
    <w:name w:val="Гиперссылка1"/>
    <w:link w:val="1a"/>
    <w:rPr>
      <w:color w:val="0000FF"/>
      <w:u w:val="single"/>
    </w:rPr>
  </w:style>
  <w:style w:type="character" w:customStyle="1" w:styleId="1a">
    <w:name w:val="Гиперссылка1"/>
    <w:link w:val="19"/>
    <w:rPr>
      <w:color w:val="0000FF"/>
      <w:u w:val="single"/>
    </w:rPr>
  </w:style>
  <w:style w:type="paragraph" w:customStyle="1" w:styleId="1b">
    <w:name w:val="Знак сноски1"/>
    <w:basedOn w:val="1c"/>
    <w:link w:val="1d"/>
    <w:rPr>
      <w:vertAlign w:val="superscript"/>
    </w:rPr>
  </w:style>
  <w:style w:type="character" w:customStyle="1" w:styleId="1d">
    <w:name w:val="Знак сноски1"/>
    <w:basedOn w:val="1e"/>
    <w:link w:val="1b"/>
    <w:rPr>
      <w:vertAlign w:val="superscript"/>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25">
    <w:name w:val="Основной шрифт абзаца2"/>
    <w:link w:val="a8"/>
  </w:style>
  <w:style w:type="paragraph" w:styleId="a8">
    <w:name w:val="footer"/>
    <w:basedOn w:val="a"/>
    <w:link w:val="a9"/>
    <w:pPr>
      <w:tabs>
        <w:tab w:val="center" w:pos="4677"/>
        <w:tab w:val="right" w:pos="9355"/>
      </w:tabs>
      <w:spacing w:after="0" w:line="240" w:lineRule="auto"/>
    </w:pPr>
  </w:style>
  <w:style w:type="character" w:customStyle="1" w:styleId="a9">
    <w:name w:val="Нижний колонтитул Знак"/>
    <w:basedOn w:val="1"/>
    <w:link w:val="a8"/>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TitlePage">
    <w:name w:val="ConsPlusTitlePage"/>
    <w:link w:val="ConsPlusTitlePage0"/>
    <w:pPr>
      <w:widowControl w:val="0"/>
      <w:spacing w:after="0" w:line="240" w:lineRule="auto"/>
    </w:pPr>
    <w:rPr>
      <w:rFonts w:ascii="Tahoma" w:hAnsi="Tahoma"/>
      <w:sz w:val="20"/>
    </w:rPr>
  </w:style>
  <w:style w:type="character" w:customStyle="1" w:styleId="ConsPlusTitlePage0">
    <w:name w:val="ConsPlusTitlePage"/>
    <w:link w:val="ConsPlusTitlePage"/>
    <w:rPr>
      <w:rFonts w:ascii="Tahoma" w:hAnsi="Tahoma"/>
      <w:sz w:val="20"/>
    </w:rPr>
  </w:style>
  <w:style w:type="paragraph" w:customStyle="1" w:styleId="1c">
    <w:name w:val="Основной шрифт абзаца1"/>
    <w:link w:val="1e"/>
  </w:style>
  <w:style w:type="character" w:customStyle="1" w:styleId="1e">
    <w:name w:val="Основной шрифт абзаца1"/>
    <w:link w:val="1c"/>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customStyle="1" w:styleId="1f">
    <w:name w:val="Обычный1"/>
    <w:link w:val="1f0"/>
  </w:style>
  <w:style w:type="character" w:customStyle="1" w:styleId="1f0">
    <w:name w:val="Обычный1"/>
    <w:link w:val="1f"/>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Заголовок Знак"/>
    <w:link w:val="ac"/>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e">
    <w:name w:val="Balloon Text"/>
    <w:basedOn w:val="a"/>
    <w:link w:val="af"/>
    <w:pPr>
      <w:spacing w:after="0" w:line="240" w:lineRule="auto"/>
    </w:pPr>
    <w:rPr>
      <w:rFonts w:ascii="Tahoma" w:hAnsi="Tahoma"/>
      <w:sz w:val="16"/>
    </w:rPr>
  </w:style>
  <w:style w:type="character" w:customStyle="1" w:styleId="af">
    <w:name w:val="Текст выноски Знак"/>
    <w:basedOn w:val="1"/>
    <w:link w:val="ae"/>
    <w:rPr>
      <w:rFonts w:ascii="Tahoma" w:hAnsi="Tahoma"/>
      <w:sz w:val="16"/>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EBDEFE781591A6FA3A350C8B2575D45D400ACB7D8F89BE4A5550B20E1F142B0A7F87C276E262D9A12D3618E6C6553A4FA40326A83A23F6mAc9N" TargetMode="External"/><Relationship Id="rId21" Type="http://schemas.openxmlformats.org/officeDocument/2006/relationships/hyperlink" Target="consultantplus://offline/ref=54EBDEFE781591A6FA3A350C8B2575D45D420CCE7E8889BE4A5550B20E1F142B0A7F87C276E262DAAB2D3618E6C6553A4FA40326A83A23F6mAc9N" TargetMode="External"/><Relationship Id="rId42" Type="http://schemas.openxmlformats.org/officeDocument/2006/relationships/hyperlink" Target="consultantplus://offline/ref=54EBDEFE781591A6FA3A350C8B2575D45D420CCA7A8D89BE4A5550B20E1F142B0A7F87C276E261D4A32D3618E6C6553A4FA40326A83A23F6mAc9N" TargetMode="External"/><Relationship Id="rId47" Type="http://schemas.openxmlformats.org/officeDocument/2006/relationships/hyperlink" Target="consultantplus://offline/ref=54EBDEFE781591A6FA3A350C8B2575D45D420CCE7E8889BE4A5550B20E1F142B0A7F87C276E263DEA52D3618E6C6553A4FA40326A83A23F6mAc9N" TargetMode="External"/><Relationship Id="rId63" Type="http://schemas.openxmlformats.org/officeDocument/2006/relationships/hyperlink" Target="consultantplus://offline/ref=54EBDEFE781591A6FA3A350C8B2575D45D4009C4708889BE4A5550B20E1F142B0A7F87C276E262D5AA2D3618E6C6553A4FA40326A83A23F6mAc9N" TargetMode="External"/><Relationship Id="rId68" Type="http://schemas.openxmlformats.org/officeDocument/2006/relationships/hyperlink" Target="consultantplus://offline/ref=54EBDEFE781591A6FA3A350C8B2575D45D420AC8708E89BE4A5550B20E1F142B0A7F87C276E366D5AB2D3618E6C6553A4FA40326A83A23F6mAc9N" TargetMode="External"/><Relationship Id="rId84" Type="http://schemas.openxmlformats.org/officeDocument/2006/relationships/hyperlink" Target="consultantplus://offline/ref=54EBDEFE781591A6FA3A350C8B2575D45D4008CD798B89BE4A5550B20E1F142B0A7F87C276E262DAA12D3618E6C6553A4FA40326A83A23F6mAc9N" TargetMode="External"/><Relationship Id="rId89" Type="http://schemas.openxmlformats.org/officeDocument/2006/relationships/hyperlink" Target="consultantplus://offline/ref=54EBDEFE781591A6FA3A350C8B2575D45D400ACB7D8F89BE4A5550B20E1F142B0A7F87C276E262D9A12D3618E6C6553A4FA40326A83A23F6mAc9N" TargetMode="External"/><Relationship Id="rId16" Type="http://schemas.openxmlformats.org/officeDocument/2006/relationships/hyperlink" Target="consultantplus://offline/ref=54EBDEFE781591A6FA3A350C8B2575D45D4308C97C8389BE4A5550B20E1F142B0A7F87C276E262DDA02D3618E6C6553A4FA40326A83A23F6mAc9N" TargetMode="External"/><Relationship Id="rId107" Type="http://schemas.openxmlformats.org/officeDocument/2006/relationships/hyperlink" Target="consultantplus://offline/ref=54EBDEFE781591A6FA3A350C8B2575D45D420AC8708E89BE4A5550B20E1F142B0A7F87C276E364D5A32D3618E6C6553A4FA40326A83A23F6mAc9N" TargetMode="External"/><Relationship Id="rId11" Type="http://schemas.openxmlformats.org/officeDocument/2006/relationships/hyperlink" Target="consultantplus://offline/ref=54EBDEFE781591A6FA3A350C8B2575D45D420CCA7A8D89BE4A5550B20E1F142B187FDFCE77E67CDCA6386049A0m9c2N" TargetMode="External"/><Relationship Id="rId32" Type="http://schemas.openxmlformats.org/officeDocument/2006/relationships/hyperlink" Target="consultantplus://offline/ref=54EBDEFE781591A6FA3A350C8B2575D45D420CCE7E8889BE4A5550B20E1F142B0A7F87C276E263DFA52D3618E6C6553A4FA40326A83A23F6mAc9N" TargetMode="External"/><Relationship Id="rId37" Type="http://schemas.openxmlformats.org/officeDocument/2006/relationships/hyperlink" Target="consultantplus://offline/ref=54EBDEFE781591A6FA3A350C8B2575D45D400ACB7D8E89BE4A5550B20E1F142B0A7F87C276E263DEA32D3618E6C6553A4FA40326A83A23F6mAc9N" TargetMode="External"/><Relationship Id="rId53" Type="http://schemas.openxmlformats.org/officeDocument/2006/relationships/hyperlink" Target="consultantplus://offline/ref=54EBDEFE781591A6FA3A350C8B2575D45D4206CE7D8D89BE4A5550B20E1F142B0A7F87C276E262D8A72D3618E6C6553A4FA40326A83A23F6mAc9N" TargetMode="External"/><Relationship Id="rId58" Type="http://schemas.openxmlformats.org/officeDocument/2006/relationships/hyperlink" Target="consultantplus://offline/ref=54EBDEFE781591A6FA3A36058B512087534506C57A8289BE4A5550B20E1F142B0A7F87C276E262DDA72D3618E6C6553A4FA40326A83A23F6mAc9N" TargetMode="External"/><Relationship Id="rId74" Type="http://schemas.openxmlformats.org/officeDocument/2006/relationships/hyperlink" Target="https://docs30.surp-spb.ru/cgi/online.cgi?req=doc&amp;base=LAW&amp;n=371333&amp;dst=960&amp;field=134&amp;date=18.12.2021" TargetMode="External"/><Relationship Id="rId79" Type="http://schemas.openxmlformats.org/officeDocument/2006/relationships/hyperlink" Target="consultantplus://offline/ref=54EBDEFE781591A6FA3A350C8B2575D45D4008CD798B89BE4A5550B20E1F142B0A7F87C276E262DFA52D3618E6C6553A4FA40326A83A23F6mAc9N" TargetMode="External"/><Relationship Id="rId102" Type="http://schemas.openxmlformats.org/officeDocument/2006/relationships/hyperlink" Target="consultantplus://offline/ref=54EBDEFE781591A6FA3A350C8B2575D45D420AC8708E89BE4A5550B20E1F142B0A7F87CB72E9368DE6736F48A68D583F55B80320mBc7N" TargetMode="External"/><Relationship Id="rId5" Type="http://schemas.openxmlformats.org/officeDocument/2006/relationships/hyperlink" Target="consultantplus://offline/ref=54EBDEFE781591A6FA3A350C8B2575D45D4609C4788F89BE4A5550B20E1F142B187FDFCE77E67CDCA6386049A0m9c2N" TargetMode="External"/><Relationship Id="rId90" Type="http://schemas.openxmlformats.org/officeDocument/2006/relationships/hyperlink" Target="consultantplus://offline/ref=54EBDEFE781591A6FA3A350C8B2575D45D4008CD798B89BE4A5550B20E1F142B0A7F87C276E262D5A52D3618E6C6553A4FA40326A83A23F6mAc9N" TargetMode="External"/><Relationship Id="rId95" Type="http://schemas.openxmlformats.org/officeDocument/2006/relationships/hyperlink" Target="consultantplus://offline/ref=54EBDEFE781591A6FA3A350C8B2575D45D420AC8708E89BE4A5550B20E1F142B0A7F87C276E061D9A42D3618E6C6553A4FA40326A83A23F6mAc9N" TargetMode="External"/><Relationship Id="rId22" Type="http://schemas.openxmlformats.org/officeDocument/2006/relationships/hyperlink" Target="consultantplus://offline/ref=54EBDEFE781591A6FA3A350C8B2575D45D400ACB7D8F89BE4A5550B20E1F142B0A7F87C276E262D8A62D3618E6C6553A4FA40326A83A23F6mAc9N" TargetMode="External"/><Relationship Id="rId27" Type="http://schemas.openxmlformats.org/officeDocument/2006/relationships/hyperlink" Target="consultantplus://offline/ref=54EBDEFE781591A6FA3A350C8B2575D45D400ACB7D8F89BE4A5550B20E1F142B0A7F87C276E262D9A12D3618E6C6553A4FA40326A83A23F6mAc9N" TargetMode="External"/><Relationship Id="rId43" Type="http://schemas.openxmlformats.org/officeDocument/2006/relationships/hyperlink" Target="consultantplus://offline/ref=54EBDEFE781591A6FA3A350C8B2575D45D420CCA7A8D89BE4A5550B20E1F142B0A7F87C276E266DBA62D3618E6C6553A4FA40326A83A23F6mAc9N" TargetMode="External"/><Relationship Id="rId48" Type="http://schemas.openxmlformats.org/officeDocument/2006/relationships/hyperlink" Target="consultantplus://offline/ref=54EBDEFE781591A6FA3A350C8B2575D45D420AC8708E89BE4A5550B20E1F142B0A7F87C276E26ADFA22D3618E6C6553A4FA40326A83A23F6mAc9N" TargetMode="External"/><Relationship Id="rId64" Type="http://schemas.openxmlformats.org/officeDocument/2006/relationships/hyperlink" Target="consultantplus://offline/ref=54EBDEFE781591A6FA3A350C8B2575D45D400ACB7D8F89BE4A5550B20E1F142B0A7F87C276E262D9A12D3618E6C6553A4FA40326A83A23F6mAc9N" TargetMode="External"/><Relationship Id="rId69" Type="http://schemas.openxmlformats.org/officeDocument/2006/relationships/hyperlink" Target="consultantplus://offline/ref=54EBDEFE781591A6FA3A350C8B2575D45D420AC8708E89BE4A5550B20E1F142B0A7F87C171EA6988F3623744A397463B4FA40122B4m3c9N" TargetMode="External"/><Relationship Id="rId80" Type="http://schemas.openxmlformats.org/officeDocument/2006/relationships/hyperlink" Target="consultantplus://offline/ref=54EBDEFE781591A6FA3A350C8B2575D45D420CCA7A8D89BE4A5550B20E1F142B0A7F87C276E9368DE6736F48A68D583F55B80320mBc7N" TargetMode="External"/><Relationship Id="rId85" Type="http://schemas.openxmlformats.org/officeDocument/2006/relationships/hyperlink" Target="consultantplus://offline/ref=54EBDEFE781591A6FA3A350C8B2575D45D4008CD798B89BE4A5550B20E1F142B0A7F87C276E262D9A72D3618E6C6553A4FA40326A83A23F6mAc9N" TargetMode="External"/><Relationship Id="rId12" Type="http://schemas.openxmlformats.org/officeDocument/2006/relationships/hyperlink" Target="consultantplus://offline/ref=54EBDEFE781591A6FA3A350C8B2575D45D420CCA7A8D89BE4A5550B20E1F142B0A7F87C276E760DFA72D3618E6C6553A4FA40326A83A23F6mAc9N" TargetMode="External"/><Relationship Id="rId17" Type="http://schemas.openxmlformats.org/officeDocument/2006/relationships/hyperlink" Target="consultantplus://offline/ref=54EBDEFE781591A6FA3A350C8B2575D45D420DC87F8389BE4A5550B20E1F142B187FDFCE77E67CDCA6386049A0m9c2N" TargetMode="External"/><Relationship Id="rId33" Type="http://schemas.openxmlformats.org/officeDocument/2006/relationships/hyperlink" Target="consultantplus://offline/ref=54EBDEFE781591A6FA3A350C8B2575D45D420CCE7E8889BE4A5550B20E1F142B0A7F87C276E263D8A22D3618E6C6553A4FA40326A83A23F6mAc9N" TargetMode="External"/><Relationship Id="rId38" Type="http://schemas.openxmlformats.org/officeDocument/2006/relationships/hyperlink" Target="consultantplus://offline/ref=54EBDEFE781591A6FA3A350C8B2575D45D420CCA7A8D89BE4A5550B20E1F142B0A7F87C276E263DAA12D3618E6C6553A4FA40326A83A23F6mAc9N" TargetMode="External"/><Relationship Id="rId59" Type="http://schemas.openxmlformats.org/officeDocument/2006/relationships/hyperlink" Target="consultantplus://offline/ref=54EBDEFE781591A6FA3A350C8B2575D45D400ACB7D8F89BE4A5550B20E1F142B0A7F87C276E262D9A12D3618E6C6553A4FA40326A83A23F6mAc9N" TargetMode="External"/><Relationship Id="rId103" Type="http://schemas.openxmlformats.org/officeDocument/2006/relationships/hyperlink" Target="consultantplus://offline/ref=54EBDEFE781591A6FA3A350C8B2575D45D420AC8708E89BE4A5550B20E1F142B0A7F87CB72E9368DE6736F48A68D583F55B80320mBc7N" TargetMode="External"/><Relationship Id="rId108" Type="http://schemas.openxmlformats.org/officeDocument/2006/relationships/fontTable" Target="fontTable.xml"/><Relationship Id="rId54" Type="http://schemas.openxmlformats.org/officeDocument/2006/relationships/hyperlink" Target="consultantplus://offline/ref=54EBDEFE781591A6FA3A350C8B2575D45D420CCE7E8889BE4A5550B20E1F142B0A7F87C276E262D5A62D3618E6C6553A4FA40326A83A23F6mAc9N" TargetMode="External"/><Relationship Id="rId70" Type="http://schemas.openxmlformats.org/officeDocument/2006/relationships/hyperlink" Target="consultantplus://offline/ref=54EBDEFE781591A6FA3A350C8B2575D45D400AC97B8989BE4A5550B20E1F142B0A7F87C276E262DEAB2D3618E6C6553A4FA40326A83A23F6mAc9N" TargetMode="External"/><Relationship Id="rId75" Type="http://schemas.openxmlformats.org/officeDocument/2006/relationships/hyperlink" Target="consultantplus://offline/ref=2FD07FB1D73EE1CA1F7D46E7CBE41A2AAA79DE60B82070A32775A9EF86C4F1C3FBB1A517D05A25C0FB8DAC2D3D6F8E99776EABA706A5DA48lCJAN" TargetMode="External"/><Relationship Id="rId91" Type="http://schemas.openxmlformats.org/officeDocument/2006/relationships/hyperlink" Target="consultantplus://offline/ref=54EBDEFE781591A6FA3A350C8B2575D45D420CCA7A8D89BE4A5550B20E1F142B0A7F87C276E061DAA72D3618E6C6553A4FA40326A83A23F6mAc9N" TargetMode="External"/><Relationship Id="rId96" Type="http://schemas.openxmlformats.org/officeDocument/2006/relationships/hyperlink" Target="consultantplus://offline/ref=54EBDEFE781591A6FA3A350C8B2575D45D420AC8708E89BE4A5550B20E1F142B0A7F87C276E364DCA02D3618E6C6553A4FA40326A83A23F6mAc9N" TargetMode="External"/><Relationship Id="rId1" Type="http://schemas.openxmlformats.org/officeDocument/2006/relationships/numbering" Target="numbering.xml"/><Relationship Id="rId6" Type="http://schemas.openxmlformats.org/officeDocument/2006/relationships/hyperlink" Target="consultantplus://offline/ref=54EBDEFE781591A6FA3A350C8B2575D45D430CC47E8C89BE4A5550B20E1F142B187FDFCE77E67CDCA6386049A0m9c2N" TargetMode="External"/><Relationship Id="rId15" Type="http://schemas.openxmlformats.org/officeDocument/2006/relationships/hyperlink" Target="consultantplus://offline/ref=54EBDEFE781591A6FA3A350C8B2575D45D4407C4798889BE4A5550B20E1F142B0A7F87C276E262DCAA2D3618E6C6553A4FA40326A83A23F6mAc9N" TargetMode="External"/><Relationship Id="rId23" Type="http://schemas.openxmlformats.org/officeDocument/2006/relationships/hyperlink" Target="consultantplus://offline/ref=54EBDEFE781591A6FA3A350C8B2575D45D420AC8708E89BE4A5550B20E1F142B0A7F87C273E36988F3623744A397463B4FA40122B4m3c9N" TargetMode="External"/><Relationship Id="rId28" Type="http://schemas.openxmlformats.org/officeDocument/2006/relationships/hyperlink" Target="consultantplus://offline/ref=54EBDEFE781591A6FA3A350C8B2575D45D400ACB7D8F89BE4A5550B20E1F142B0A7F87C276E262D9A12D3618E6C6553A4FA40326A83A23F6mAc9N" TargetMode="External"/><Relationship Id="rId36" Type="http://schemas.openxmlformats.org/officeDocument/2006/relationships/hyperlink" Target="consultantplus://offline/ref=54EBDEFE781591A6FA3A350C8B2575D45D420AC8708E89BE4A5550B20E1F142B0A7F87C77EE46988F3623744A397463B4FA40122B4m3c9N" TargetMode="External"/><Relationship Id="rId49" Type="http://schemas.openxmlformats.org/officeDocument/2006/relationships/hyperlink" Target="consultantplus://offline/ref=E7AE7208A7C0D10EC0740A45E74CC8CB5FA71DE057027A236EC66A79ECAB0F903AE00CA421035920DF3725990F6A454D255F3815A3RCvBL" TargetMode="External"/><Relationship Id="rId57" Type="http://schemas.openxmlformats.org/officeDocument/2006/relationships/hyperlink" Target="consultantplus://offline/ref=54EBDEFE781591A6FA3A350C8B2575D45D400ACD7E8F89BE4A5550B20E1F142B0A7F87C276E262D5A52D3618E6C6553A4FA40326A83A23F6mAc9N" TargetMode="External"/><Relationship Id="rId106" Type="http://schemas.openxmlformats.org/officeDocument/2006/relationships/hyperlink" Target="consultantplus://offline/ref=54EBDEFE781591A6FA3A350C8B2575D45D420AC8708E89BE4A5550B20E1F142B0A7F87C276E061DAA22D3618E6C6553A4FA40326A83A23F6mAc9N" TargetMode="External"/><Relationship Id="rId10" Type="http://schemas.openxmlformats.org/officeDocument/2006/relationships/hyperlink" Target="consultantplus://offline/ref=54EBDEFE781591A6FA3A350C8B2575D45D430FCF7A8E89BE4A5550B20E1F142B0A7F87C276E360DCA32D3618E6C6553A4FA40326A83A23F6mAc9N" TargetMode="External"/><Relationship Id="rId31" Type="http://schemas.openxmlformats.org/officeDocument/2006/relationships/hyperlink" Target="consultantplus://offline/ref=54EBDEFE781591A6FA3A350C8B2575D45D420AC8708E89BE4A5550B20E1F142B0A7F87C271E06988F3623744A397463B4FA40122B4m3c9N" TargetMode="External"/><Relationship Id="rId44" Type="http://schemas.openxmlformats.org/officeDocument/2006/relationships/hyperlink" Target="consultantplus://offline/ref=E7AE7208A7C0D10EC0740A45E74CC8CB5FA71DE057027A236EC66A79ECAB0F903AE00CA421035920DF3725990F6A454D255F3815A3RCvBL" TargetMode="External"/><Relationship Id="rId52" Type="http://schemas.openxmlformats.org/officeDocument/2006/relationships/hyperlink" Target="consultantplus://offline/ref=54EBDEFE781591A6FA3A350C8B2575D45D420CCA7A8D89BE4A5550B20E1F142B0A7F87C276E063DEA72D3618E6C6553A4FA40326A83A23F6mAc9N" TargetMode="External"/><Relationship Id="rId60" Type="http://schemas.openxmlformats.org/officeDocument/2006/relationships/hyperlink" Target="consultantplus://offline/ref=54EBDEFE781591A6FA3A350C8B2575D45D400ACB7D8F89BE4A5550B20E1F142B0A7F87C276E262D9A12D3618E6C6553A4FA40326A83A23F6mAc9N" TargetMode="External"/><Relationship Id="rId65" Type="http://schemas.openxmlformats.org/officeDocument/2006/relationships/hyperlink" Target="consultantplus://offline/ref=54EBDEFE781591A6FA3A350C8B2575D45D420AC8708E89BE4A5550B20E1F142B0A7F87C276E26ADEA62D3618E6C6553A4FA40326A83A23F6mAc9N" TargetMode="External"/><Relationship Id="rId73" Type="http://schemas.openxmlformats.org/officeDocument/2006/relationships/hyperlink" Target="https://docs30.surp-spb.ru/cgi/online.cgi?req=doc&amp;base=LAW&amp;n=371324&amp;dst=103735&amp;field=134&amp;date=18.12.2021" TargetMode="External"/><Relationship Id="rId78" Type="http://schemas.openxmlformats.org/officeDocument/2006/relationships/hyperlink" Target="consultantplus://offline/ref=54EBDEFE781591A6FA3A350C8B2575D45D4008CD798B89BE4A5550B20E1F142B0A7F87C276E262DEA52D3618E6C6553A4FA40326A83A23F6mAc9N" TargetMode="External"/><Relationship Id="rId81" Type="http://schemas.openxmlformats.org/officeDocument/2006/relationships/hyperlink" Target="consultantplus://offline/ref=54EBDEFE781591A6FA3A350C8B2575D45D4008CD798B89BE4A5550B20E1F142B0A7F87C276E262DFA52D3618E6C6553A4FA40326A83A23F6mAc9N" TargetMode="External"/><Relationship Id="rId86" Type="http://schemas.openxmlformats.org/officeDocument/2006/relationships/hyperlink" Target="consultantplus://offline/ref=54EBDEFE781591A6FA3A350C8B2575D45D4008CD798B89BE4A5550B20E1F142B0A7F87C276E262D5A72D3618E6C6553A4FA40326A83A23F6mAc9N" TargetMode="External"/><Relationship Id="rId94" Type="http://schemas.openxmlformats.org/officeDocument/2006/relationships/hyperlink" Target="consultantplus://offline/ref=54EBDEFE781591A6FA3A350C8B2575D45D420AC8708E89BE4A5550B20E1F142B0A7F87C276E367D4AB2D3618E6C6553A4FA40326A83A23F6mAc9N" TargetMode="External"/><Relationship Id="rId99" Type="http://schemas.openxmlformats.org/officeDocument/2006/relationships/hyperlink" Target="consultantplus://offline/ref=54EBDEFE781591A6FA3A350C8B2575D45D420AC8708E89BE4A5550B20E1F142B0A7F87C276E36ADEA62D3618E6C6553A4FA40326A83A23F6mAc9N" TargetMode="External"/><Relationship Id="rId101" Type="http://schemas.openxmlformats.org/officeDocument/2006/relationships/hyperlink" Target="consultantplus://offline/ref=54EBDEFE781591A6FA3A350C8B2575D45D420CCA7A8D89BE4A5550B20E1F142B0A7F87C276E164DFA72D3618E6C6553A4FA40326A83A23F6mAc9N" TargetMode="External"/><Relationship Id="rId4" Type="http://schemas.openxmlformats.org/officeDocument/2006/relationships/webSettings" Target="webSettings.xml"/><Relationship Id="rId9" Type="http://schemas.openxmlformats.org/officeDocument/2006/relationships/hyperlink" Target="consultantplus://offline/ref=54EBDEFE781591A6FA3A350C8B2575D45D430FCF7A8E89BE4A5550B20E1F142B0A7F87C675EB6BD7F677261CAF925C254BBE1D20B63Am2c2N" TargetMode="External"/><Relationship Id="rId13" Type="http://schemas.openxmlformats.org/officeDocument/2006/relationships/hyperlink" Target="consultantplus://offline/ref=54EBDEFE781591A6FA3A350C8B2575D45D4206CE7D8D89BE4A5550B20E1F142B187FDFCE77E67CDCA6386049A0m9c2N" TargetMode="External"/><Relationship Id="rId18" Type="http://schemas.openxmlformats.org/officeDocument/2006/relationships/hyperlink" Target="consultantplus://offline/ref=54EBDEFE781591A6FA3A350C8B2575D45D4306CF7F8889BE4A5550B20E1F142B0A7F87C276E262DDA32D3618E6C6553A4FA40326A83A23F6mAc9N" TargetMode="External"/><Relationship Id="rId39" Type="http://schemas.openxmlformats.org/officeDocument/2006/relationships/hyperlink" Target="consultantplus://offline/ref=54EBDEFE781591A6FA3A350C8B2575D45D420CCA7A8D89BE4A5550B20E1F142B0A7F87C276E363D4A02D3618E6C6553A4FA40326A83A23F6mAc9N" TargetMode="External"/><Relationship Id="rId109" Type="http://schemas.openxmlformats.org/officeDocument/2006/relationships/theme" Target="theme/theme1.xml"/><Relationship Id="rId34" Type="http://schemas.openxmlformats.org/officeDocument/2006/relationships/hyperlink" Target="consultantplus://offline/ref=54EBDEFE781591A6FA3A350C8B2575D45D420AC8708E89BE4A5550B20E1F142B0A7F87C27FE26988F3623744A397463B4FA40122B4m3c9N" TargetMode="External"/><Relationship Id="rId50" Type="http://schemas.openxmlformats.org/officeDocument/2006/relationships/hyperlink" Target="consultantplus://offline/ref=54EBDEFE781591A6FA3A350C8B2575D45D4206CE7D8D89BE4A5550B20E1F142B187FDFCE77E67CDCA6386049A0m9c2N" TargetMode="External"/><Relationship Id="rId55" Type="http://schemas.openxmlformats.org/officeDocument/2006/relationships/hyperlink" Target="consultantplus://offline/ref=54EBDEFE781591A6FA3A350C8B2575D45D420AC8708E89BE4A5550B20E1F142B0A7F87C573E9368DE6736F48A68D583F55B80320mBc7N" TargetMode="External"/><Relationship Id="rId76" Type="http://schemas.openxmlformats.org/officeDocument/2006/relationships/hyperlink" Target="consultantplus://offline/ref=2FD07FB1D73EE1CA1F7D46E7CBE41A2AAA78DB66B02370A32775A9EF86C4F1C3FBB1A517D05829C3F58DAC2D3D6F8E99776EABA706A5DA48lCJAN" TargetMode="External"/><Relationship Id="rId97" Type="http://schemas.openxmlformats.org/officeDocument/2006/relationships/hyperlink" Target="consultantplus://offline/ref=54EBDEFE781591A6FA3A350C8B2575D45D420AC8708E89BE4A5550B20E1F142B0A7F87C17EE761D7F677261CAF925C254BBE1D20B63Am2c2N" TargetMode="External"/><Relationship Id="rId104" Type="http://schemas.openxmlformats.org/officeDocument/2006/relationships/hyperlink" Target="consultantplus://offline/ref=54EBDEFE781591A6FA3A350C8B2575D45D420AC8708E89BE4A5550B20E1F142B0A7F87CB72E9368DE6736F48A68D583F55B80320mBc7N" TargetMode="External"/><Relationship Id="rId7" Type="http://schemas.openxmlformats.org/officeDocument/2006/relationships/hyperlink" Target="consultantplus://offline/ref=54EBDEFE781591A6FA3A350C8B2575D45D420AC8708E89BE4A5550B20E1F142B0A7F87C674E26988F3623744A397463B4FA40122B4m3c9N" TargetMode="External"/><Relationship Id="rId71" Type="http://schemas.openxmlformats.org/officeDocument/2006/relationships/hyperlink" Target="https://docs30.surp-spb.ru/cgi/online.cgi?req=doc&amp;base=PKBO&amp;n=31876&amp;dst=100008&amp;field=134&amp;date=18.12.2021" TargetMode="External"/><Relationship Id="rId92" Type="http://schemas.openxmlformats.org/officeDocument/2006/relationships/hyperlink" Target="consultantplus://offline/ref=54EBDEFE781591A6FA3A350C8B2575D45D400ACB7D8F89BE4A5550B20E1F142B0A7F87C276E262D9A12D3618E6C6553A4FA40326A83A23F6mAc9N" TargetMode="External"/><Relationship Id="rId2" Type="http://schemas.openxmlformats.org/officeDocument/2006/relationships/styles" Target="styles.xml"/><Relationship Id="rId29" Type="http://schemas.openxmlformats.org/officeDocument/2006/relationships/hyperlink" Target="consultantplus://offline/ref=54EBDEFE781591A6FA3A350C8B2575D45D420CCE7E8889BE4A5550B20E1F142B0A7F87C276E263DFA52D3618E6C6553A4FA40326A83A23F6mAc9N" TargetMode="External"/><Relationship Id="rId24" Type="http://schemas.openxmlformats.org/officeDocument/2006/relationships/hyperlink" Target="consultantplus://offline/ref=54EBDEFE781591A6FA3A350C8B2575D45D400ACB7D8F89BE4A5550B20E1F142B0A7F87C276E262D8A62D3618E6C6553A4FA40326A83A23F6mAc9N" TargetMode="External"/><Relationship Id="rId40" Type="http://schemas.openxmlformats.org/officeDocument/2006/relationships/hyperlink" Target="consultantplus://offline/ref=54EBDEFE781591A6FA3A350C8B2575D45D420AC8708E89BE4A5550B20E1F142B0A7F87C276E063D4AB2D3618E6C6553A4FA40326A83A23F6mAc9N" TargetMode="External"/><Relationship Id="rId45" Type="http://schemas.openxmlformats.org/officeDocument/2006/relationships/hyperlink" Target="consultantplus://offline/ref=54EBDEFE781591A6FA3A350C8B2575D45D400ACB7D8E89BE4A5550B20E1F142B0A7F87C276E263D5A32D3618E6C6553A4FA40326A83A23F6mAc9N" TargetMode="External"/><Relationship Id="rId66" Type="http://schemas.openxmlformats.org/officeDocument/2006/relationships/hyperlink" Target="consultantplus://offline/ref=54EBDEFE781591A6FA3A350C8B2575D45D400ACB7C8E89BE4A5550B20E1F142B0A7F87C276E262D4A22D3618E6C6553A4FA40326A83A23F6mAc9N" TargetMode="External"/><Relationship Id="rId87" Type="http://schemas.openxmlformats.org/officeDocument/2006/relationships/hyperlink" Target="consultantplus://offline/ref=54EBDEFE781591A6FA3A350C8B2575D45D4008CD798B89BE4A5550B20E1F142B0A7F87C276E262DAA42D3618E6C6553A4FA40326A83A23F6mAc9N" TargetMode="External"/><Relationship Id="rId61" Type="http://schemas.openxmlformats.org/officeDocument/2006/relationships/hyperlink" Target="consultantplus://offline/ref=54EBDEFE781591A6FA3A350C8B2575D45D400ACB7D8F89BE4A5550B20E1F142B0A7F87C276E262D9A12D3618E6C6553A4FA40326A83A23F6mAc9N" TargetMode="External"/><Relationship Id="rId82" Type="http://schemas.openxmlformats.org/officeDocument/2006/relationships/hyperlink" Target="consultantplus://offline/ref=54EBDEFE781591A6FA3A350C8B2575D45D4008CD798B89BE4A5550B20E1F142B0A7F87C276E262D4A12D3618E6C6553A4FA40326A83A23F6mAc9N" TargetMode="External"/><Relationship Id="rId19" Type="http://schemas.openxmlformats.org/officeDocument/2006/relationships/hyperlink" Target="consultantplus://offline/ref=54EBDEFE781591A6FA3A350C8B2575D45D4209C87C8889BE4A5550B20E1F142B0A7F87C276E262DDA32D3618E6C6553A4FA40326A83A23F6mAc9N" TargetMode="External"/><Relationship Id="rId14" Type="http://schemas.openxmlformats.org/officeDocument/2006/relationships/hyperlink" Target="consultantplus://offline/ref=54EBDEFE781591A6FA3A350C8B2575D45D410EC97B8389BE4A5550B20E1F142B187FDFCE77E67CDCA6386049A0m9c2N" TargetMode="External"/><Relationship Id="rId30" Type="http://schemas.openxmlformats.org/officeDocument/2006/relationships/hyperlink" Target="consultantplus://offline/ref=54EBDEFE781591A6FA3A350C8B2575D45D420CCE7E8889BE4A5550B20E1F142B0A7F87C276E263DFAB2D3618E6C6553A4FA40326A83A23F6mAc9N" TargetMode="External"/><Relationship Id="rId35" Type="http://schemas.openxmlformats.org/officeDocument/2006/relationships/hyperlink" Target="consultantplus://offline/ref=54EBDEFE781591A6FA3A350C8B2575D45D4009C4708889BE4A5550B20E1F142B0A7F87C276E263DCA62D3618E6C6553A4FA40326A83A23F6mAc9N" TargetMode="External"/><Relationship Id="rId56" Type="http://schemas.openxmlformats.org/officeDocument/2006/relationships/hyperlink" Target="consultantplus://offline/ref=54EBDEFE781591A6FA3A350C8B2575D45D400ACB7D8F89BE4A5550B20E1F142B0A7F87C276E262D9A12D3618E6C6553A4FA40326A83A23F6mAc9N" TargetMode="External"/><Relationship Id="rId77" Type="http://schemas.openxmlformats.org/officeDocument/2006/relationships/hyperlink" Target="consultantplus://offline/ref=54EBDEFE781591A6FA3A350C8B2575D45D400ACB7D8F89BE4A5550B20E1F142B0A7F87C276E262D9A12D3618E6C6553A4FA40326A83A23F6mAc9N" TargetMode="External"/><Relationship Id="rId100" Type="http://schemas.openxmlformats.org/officeDocument/2006/relationships/hyperlink" Target="consultantplus://offline/ref=54EBDEFE781591A6FA3A350C8B2575D45D420AC8708E89BE4A5550B20E1F142B0A7F87C276E36ADEAB2D3618E6C6553A4FA40326A83A23F6mAc9N" TargetMode="External"/><Relationship Id="rId105" Type="http://schemas.openxmlformats.org/officeDocument/2006/relationships/hyperlink" Target="consultantplus://offline/ref=54EBDEFE781591A6FA3A350C8B2575D45D420AC8708E89BE4A5550B20E1F142B0A7F87CB72E9368DE6736F48A68D583F55B80320mBc7N" TargetMode="External"/><Relationship Id="rId8" Type="http://schemas.openxmlformats.org/officeDocument/2006/relationships/hyperlink" Target="consultantplus://offline/ref=54EBDEFE781591A6FA3A350C8B2575D45D420AC8708E89BE4A5550B20E1F142B0A7F87C276E261D4A52D3618E6C6553A4FA40326A83A23F6mAc9N" TargetMode="External"/><Relationship Id="rId51" Type="http://schemas.openxmlformats.org/officeDocument/2006/relationships/hyperlink" Target="consultantplus://offline/ref=54EBDEFE781591A6FA3A350C8B2575D45D4206CE7D8D89BE4A5550B20E1F142B187FDFCE77E67CDCA6386049A0m9c2N" TargetMode="External"/><Relationship Id="rId72" Type="http://schemas.openxmlformats.org/officeDocument/2006/relationships/hyperlink" Target="https://docs30.surp-spb.ru/cgi/online.cgi?req=doc&amp;base=LAW&amp;n=371207&amp;dst=28657&amp;field=134&amp;date=18.12.2021" TargetMode="External"/><Relationship Id="rId93" Type="http://schemas.openxmlformats.org/officeDocument/2006/relationships/hyperlink" Target="consultantplus://offline/ref=54EBDEFE781591A6FA3A350C8B2575D45D400ACB7D8F89BE4A5550B20E1F142B0A7F87C276E262D9A12D3618E6C6553A4FA40326A83A23F6mAc9N" TargetMode="External"/><Relationship Id="rId98" Type="http://schemas.openxmlformats.org/officeDocument/2006/relationships/hyperlink" Target="consultantplus://offline/ref=54EBDEFE781591A6FA3A350C8B2575D45D420AC8708E89BE4A5550B20E1F142B0A7F87C276E364DFA62D3618E6C6553A4FA40326A83A23F6mAc9N" TargetMode="External"/><Relationship Id="rId3" Type="http://schemas.openxmlformats.org/officeDocument/2006/relationships/settings" Target="settings.xml"/><Relationship Id="rId25" Type="http://schemas.openxmlformats.org/officeDocument/2006/relationships/hyperlink" Target="consultantplus://offline/ref=54EBDEFE781591A6FA3A350C8B2575D45D400ACB7D8F89BE4A5550B20E1F142B0A7F87C276E262D8AB2D3618E6C6553A4FA40326A83A23F6mAc9N" TargetMode="External"/><Relationship Id="rId46" Type="http://schemas.openxmlformats.org/officeDocument/2006/relationships/hyperlink" Target="https://vip.gosfinansy.ru/#/document/99/542619659/XA00M902MS/" TargetMode="External"/><Relationship Id="rId67" Type="http://schemas.openxmlformats.org/officeDocument/2006/relationships/hyperlink" Target="consultantplus://offline/ref=54EBDEFE781591A6FA3A350C8B2575D45D420AC8708E89BE4A5550B20E1F142B0A7F87C276E366D5A22D3618E6C6553A4FA40326A83A23F6mAc9N" TargetMode="External"/><Relationship Id="rId20" Type="http://schemas.openxmlformats.org/officeDocument/2006/relationships/hyperlink" Target="consultantplus://offline/ref=54EBDEFE781591A6FA3A350C8B2575D45D4609C4788F89BE4A5550B20E1F142B0A7F87C276E263DAA42D3618E6C6553A4FA40326A83A23F6mAc9N" TargetMode="External"/><Relationship Id="rId41" Type="http://schemas.openxmlformats.org/officeDocument/2006/relationships/hyperlink" Target="consultantplus://offline/ref=54EBDEFE781591A6FA3A350C8B2575D45D420CCA7A8D89BE4A5550B20E1F142B0A7F87C276E263DAA12D3618E6C6553A4FA40326A83A23F6mAc9N" TargetMode="External"/><Relationship Id="rId62" Type="http://schemas.openxmlformats.org/officeDocument/2006/relationships/hyperlink" Target="consultantplus://offline/ref=54EBDEFE781591A6FA3A350C8B2575D45D420CCA7A8D89BE4A5550B20E1F142B0A7F87C276E061DAA72D3618E6C6553A4FA40326A83A23F6mAc9N" TargetMode="External"/><Relationship Id="rId83" Type="http://schemas.openxmlformats.org/officeDocument/2006/relationships/hyperlink" Target="consultantplus://offline/ref=54EBDEFE781591A6FA3A350C8B2575D45D400ACB7D8F89BE4A5550B20E1F142B0A7F87C276E262D9A12D3618E6C6553A4FA40326A83A23F6mAc9N" TargetMode="External"/><Relationship Id="rId88" Type="http://schemas.openxmlformats.org/officeDocument/2006/relationships/hyperlink" Target="consultantplus://offline/ref=54EBDEFE781591A6FA3A350C8B2575D45D420CCA7A8D89BE4A5550B20E1F142B0A7F87C276E061DAA72D3618E6C6553A4FA40326A83A23F6mAc9N"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20752</Words>
  <Characters>118292</Characters>
  <Application>Microsoft Office Word</Application>
  <DocSecurity>0</DocSecurity>
  <Lines>985</Lines>
  <Paragraphs>277</Paragraphs>
  <ScaleCrop>false</ScaleCrop>
  <Company/>
  <LinksUpToDate>false</LinksUpToDate>
  <CharactersWithSpaces>138767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Маргарита Шафранская</cp:lastModifiedBy>
  <cp:revision>2</cp:revision>
  <dcterms:created xsi:type="dcterms:W3CDTF">2024-01-18T09:53:00Z</dcterms:created>
  <dcterms:modified xsi:type="dcterms:W3CDTF">2024-01-18T09:53:00Z</dcterms:modified>
</cp:coreProperties>
</file>